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B0" w:rsidRPr="006367E9" w:rsidRDefault="003F2BB0" w:rsidP="003F2BB0">
      <w:pPr>
        <w:jc w:val="center"/>
        <w:rPr>
          <w:sz w:val="28"/>
          <w:szCs w:val="28"/>
        </w:rPr>
      </w:pPr>
      <w:r w:rsidRPr="006367E9">
        <w:rPr>
          <w:b/>
          <w:sz w:val="28"/>
          <w:szCs w:val="28"/>
        </w:rPr>
        <w:t>Associate in General Education – (A10300</w:t>
      </w:r>
      <w:r w:rsidRPr="006367E9">
        <w:rPr>
          <w:sz w:val="28"/>
          <w:szCs w:val="28"/>
        </w:rPr>
        <w:t>)</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56"/>
        <w:gridCol w:w="4648"/>
        <w:gridCol w:w="2356"/>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ENG-111</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ENG-111</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Competencies</w:t>
            </w:r>
          </w:p>
        </w:tc>
      </w:tr>
      <w:tr w:rsidR="003F2BB0" w:rsidRPr="00BC14AE" w:rsidTr="0064097C">
        <w:trPr>
          <w:tblCellSpacing w:w="15" w:type="dxa"/>
          <w:jc w:val="center"/>
        </w:trPr>
        <w:tc>
          <w:tcPr>
            <w:tcW w:w="4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Student Learning Outcomes</w:t>
            </w:r>
            <w:r w:rsidRPr="00BC14AE">
              <w:rPr>
                <w:rFonts w:ascii="Arial" w:eastAsia="Times New Roman" w:hAnsi="Arial" w:cs="Arial"/>
                <w:color w:val="000000"/>
                <w:sz w:val="23"/>
                <w:szCs w:val="23"/>
              </w:rPr>
              <w:br/>
              <w:t>1. Demonstrate writing as a recursive process.</w:t>
            </w:r>
            <w:r w:rsidRPr="00BC14AE">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BC14AE">
              <w:rPr>
                <w:rFonts w:ascii="Arial" w:eastAsia="Times New Roman" w:hAnsi="Arial" w:cs="Arial"/>
                <w:color w:val="000000"/>
                <w:sz w:val="23"/>
                <w:szCs w:val="23"/>
              </w:rPr>
              <w:br/>
              <w:t>3. Students will reflect upon and explain their writing strategies.</w:t>
            </w:r>
            <w:r w:rsidRPr="00BC14AE">
              <w:rPr>
                <w:rFonts w:ascii="Arial" w:eastAsia="Times New Roman" w:hAnsi="Arial" w:cs="Arial"/>
                <w:color w:val="000000"/>
                <w:sz w:val="23"/>
                <w:szCs w:val="23"/>
              </w:rPr>
              <w:br/>
              <w:t>4. Demonstrate the critical use and examination of printed, digital, and visual materials.</w:t>
            </w:r>
            <w:r w:rsidRPr="00BC14AE">
              <w:rPr>
                <w:rFonts w:ascii="Arial" w:eastAsia="Times New Roman" w:hAnsi="Arial" w:cs="Arial"/>
                <w:color w:val="000000"/>
                <w:sz w:val="23"/>
                <w:szCs w:val="23"/>
              </w:rPr>
              <w:br/>
              <w:t>5. Locate, evaluate, and incorporate relevant sources with proper documentation.</w:t>
            </w:r>
            <w:r w:rsidRPr="00BC14AE">
              <w:rPr>
                <w:rFonts w:ascii="Arial" w:eastAsia="Times New Roman" w:hAnsi="Arial" w:cs="Arial"/>
                <w:color w:val="000000"/>
                <w:sz w:val="23"/>
                <w:szCs w:val="23"/>
              </w:rPr>
              <w:br/>
              <w:t>6. Compose texts incorporating rhetorically effective and conventional use of language.</w:t>
            </w:r>
            <w:r w:rsidRPr="00BC14AE">
              <w:rPr>
                <w:rFonts w:ascii="Arial" w:eastAsia="Times New Roman" w:hAnsi="Arial" w:cs="Arial"/>
                <w:color w:val="000000"/>
                <w:sz w:val="23"/>
                <w:szCs w:val="23"/>
              </w:rPr>
              <w:br/>
              <w:t>7. Collaborate actively in a writing community.</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One Set:</w:t>
            </w:r>
            <w:r w:rsidRPr="00BC14AE">
              <w:rPr>
                <w:rFonts w:ascii="Arial" w:eastAsia="Times New Roman" w:hAnsi="Arial" w:cs="Arial"/>
                <w:color w:val="000000"/>
                <w:sz w:val="23"/>
                <w:szCs w:val="23"/>
              </w:rPr>
              <w:br/>
              <w:t>Set 1: DRE-097</w:t>
            </w:r>
            <w:r w:rsidRPr="00BC14AE">
              <w:rPr>
                <w:rFonts w:ascii="Arial" w:eastAsia="Times New Roman" w:hAnsi="Arial" w:cs="Arial"/>
                <w:color w:val="000000"/>
                <w:sz w:val="23"/>
                <w:szCs w:val="23"/>
              </w:rPr>
              <w:br/>
              <w:t>Set 2: ENG-002</w:t>
            </w:r>
            <w:r w:rsidRPr="00BC14AE">
              <w:rPr>
                <w:rFonts w:ascii="Arial" w:eastAsia="Times New Roman" w:hAnsi="Arial" w:cs="Arial"/>
                <w:color w:val="000000"/>
                <w:sz w:val="23"/>
                <w:szCs w:val="23"/>
              </w:rPr>
              <w:br/>
              <w:t>Set 3: BSP-4002</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ENG-011</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English Composition.</w:t>
            </w:r>
            <w:r w:rsidRPr="00BC14AE">
              <w:rPr>
                <w:rFonts w:ascii="Arial" w:eastAsia="Times New Roman" w:hAnsi="Arial" w:cs="Arial"/>
                <w:color w:val="000000"/>
                <w:sz w:val="23"/>
                <w:szCs w:val="23"/>
              </w:rPr>
              <w:br/>
              <w:t>This course has been approved for transfer under the ICAA as a general education course in English Composition.</w:t>
            </w:r>
          </w:p>
        </w:tc>
      </w:tr>
    </w:tbl>
    <w:p w:rsidR="003F2BB0" w:rsidRDefault="003F2BB0" w:rsidP="003F2BB0">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496"/>
        <w:gridCol w:w="1932"/>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ENG-112</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Writing/Research in the Disc</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ENG-112</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ENG-111</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44"/>
        <w:gridCol w:w="2117"/>
      </w:tblGrid>
      <w:tr w:rsidR="003F2BB0" w:rsidRPr="00BC14AE" w:rsidTr="0064097C">
        <w:trPr>
          <w:tblCellSpacing w:w="15" w:type="dxa"/>
          <w:jc w:val="center"/>
        </w:trPr>
        <w:tc>
          <w:tcPr>
            <w:tcW w:w="99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3F2BB0"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English Composition.</w:t>
            </w:r>
            <w:r w:rsidRPr="00BC14AE">
              <w:rPr>
                <w:rFonts w:ascii="Arial" w:eastAsia="Times New Roman" w:hAnsi="Arial" w:cs="Arial"/>
                <w:color w:val="000000"/>
                <w:sz w:val="23"/>
                <w:szCs w:val="23"/>
              </w:rPr>
              <w:br/>
              <w:t>This course has been approved for transfer under the ICAA as a general education course in English Composition.</w:t>
            </w:r>
          </w:p>
          <w:p w:rsidR="003F2BB0" w:rsidRPr="00BC14AE" w:rsidRDefault="003F2BB0" w:rsidP="0064097C">
            <w:pPr>
              <w:spacing w:after="0" w:line="240" w:lineRule="auto"/>
              <w:rPr>
                <w:rFonts w:ascii="Arial" w:eastAsia="Times New Roman" w:hAnsi="Arial" w:cs="Arial"/>
                <w:color w:val="000000"/>
                <w:sz w:val="23"/>
                <w:szCs w:val="23"/>
              </w:rPr>
            </w:pPr>
          </w:p>
        </w:tc>
      </w:tr>
      <w:tr w:rsidR="003F2BB0" w:rsidRPr="00B66AE5"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b/>
                <w:bCs/>
                <w:color w:val="000000"/>
                <w:sz w:val="23"/>
                <w:szCs w:val="23"/>
              </w:rPr>
            </w:pPr>
            <w:r w:rsidRPr="00B66AE5">
              <w:rPr>
                <w:rFonts w:ascii="Arial" w:eastAsia="Times New Roman" w:hAnsi="Arial" w:cs="Arial"/>
                <w:b/>
                <w:bCs/>
                <w:color w:val="000000"/>
                <w:sz w:val="23"/>
                <w:szCs w:val="23"/>
              </w:rPr>
              <w:t>ENG-114</w:t>
            </w:r>
          </w:p>
        </w:tc>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b/>
                <w:bCs/>
                <w:color w:val="000000"/>
                <w:sz w:val="23"/>
                <w:szCs w:val="23"/>
              </w:rPr>
            </w:pPr>
            <w:r w:rsidRPr="00B66AE5">
              <w:rPr>
                <w:rFonts w:ascii="Arial" w:eastAsia="Times New Roman" w:hAnsi="Arial" w:cs="Arial"/>
                <w:b/>
                <w:bCs/>
                <w:color w:val="000000"/>
                <w:sz w:val="23"/>
                <w:szCs w:val="23"/>
              </w:rPr>
              <w:t>Prof Research &amp; Reporting</w:t>
            </w:r>
          </w:p>
        </w:tc>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b/>
                <w:bCs/>
                <w:color w:val="000000"/>
                <w:sz w:val="23"/>
                <w:szCs w:val="23"/>
              </w:rPr>
            </w:pPr>
            <w:r w:rsidRPr="00B66AE5">
              <w:rPr>
                <w:rFonts w:ascii="Arial" w:eastAsia="Times New Roman" w:hAnsi="Arial" w:cs="Arial"/>
                <w:b/>
                <w:bCs/>
                <w:color w:val="000000"/>
                <w:sz w:val="23"/>
                <w:szCs w:val="23"/>
              </w:rPr>
              <w:t>ENG-114</w:t>
            </w: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66AE5" w:rsidTr="0064097C">
        <w:trPr>
          <w:tblCellSpacing w:w="15" w:type="dxa"/>
        </w:trPr>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This course, the second in a series of two, is designed to teach professional communication skills. Emphasis is placed on research, listening, critical reading and thinking, analysis, interpretation, and design used in oral and written presentations. Upon completion, students should be able to work individually and collaboratively to produce well-designed business and professional written and oral presentations.</w:t>
            </w: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66AE5"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Times New Roman" w:eastAsia="Times New Roman" w:hAnsi="Times New Roman" w:cs="Times New Roman"/>
                <w:sz w:val="24"/>
                <w:szCs w:val="24"/>
              </w:rPr>
            </w:pP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66AE5"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Times New Roman" w:eastAsia="Times New Roman" w:hAnsi="Times New Roman" w:cs="Times New Roman"/>
                <w:sz w:val="24"/>
                <w:szCs w:val="24"/>
              </w:rPr>
            </w:pP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66AE5"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Take ENG-111</w:t>
            </w: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66AE5"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 xml:space="preserve">State </w:t>
            </w:r>
            <w:proofErr w:type="spellStart"/>
            <w:r w:rsidRPr="00B66AE5">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None</w:t>
            </w: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66AE5"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This course has been approved for transfer under the CAA as a general education course in English Composition.</w:t>
            </w:r>
            <w:r w:rsidRPr="00B66AE5">
              <w:rPr>
                <w:rFonts w:ascii="Arial" w:eastAsia="Times New Roman" w:hAnsi="Arial" w:cs="Arial"/>
                <w:color w:val="000000"/>
                <w:sz w:val="23"/>
                <w:szCs w:val="23"/>
              </w:rPr>
              <w:br/>
              <w:t>This course has been approved for transfer under the ICAA as a general education course in English Composition.</w:t>
            </w:r>
          </w:p>
        </w:tc>
      </w:tr>
    </w:tbl>
    <w:p w:rsidR="003F2BB0" w:rsidRDefault="003F2BB0" w:rsidP="003F2BB0">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67"/>
        <w:gridCol w:w="4225"/>
        <w:gridCol w:w="2568"/>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COM-231</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Public Speaking</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COM-231</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95"/>
        <w:gridCol w:w="30"/>
        <w:gridCol w:w="7304"/>
        <w:gridCol w:w="108"/>
        <w:gridCol w:w="123"/>
      </w:tblGrid>
      <w:tr w:rsidR="003F2BB0" w:rsidRPr="00BC14AE" w:rsidTr="003F2BB0">
        <w:trPr>
          <w:gridAfter w:val="1"/>
          <w:trHeight w:val="61"/>
          <w:tblCellSpacing w:w="15" w:type="dxa"/>
          <w:jc w:val="center"/>
        </w:trPr>
        <w:tc>
          <w:tcPr>
            <w:tcW w:w="953"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F2BB0"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Communication.</w:t>
            </w:r>
            <w:r w:rsidRPr="00BC14AE">
              <w:rPr>
                <w:rFonts w:ascii="Arial" w:eastAsia="Times New Roman" w:hAnsi="Arial" w:cs="Arial"/>
                <w:color w:val="000000"/>
                <w:sz w:val="23"/>
                <w:szCs w:val="23"/>
              </w:rPr>
              <w:br/>
              <w:t>This course has been approved for transfer under the ICAA as a general education course in Communication.</w:t>
            </w:r>
          </w:p>
          <w:p w:rsidR="003F2BB0" w:rsidRPr="00BC14AE" w:rsidRDefault="003F2BB0" w:rsidP="0064097C">
            <w:pPr>
              <w:spacing w:after="0" w:line="240" w:lineRule="auto"/>
              <w:rPr>
                <w:rFonts w:ascii="Arial" w:eastAsia="Times New Roman" w:hAnsi="Arial" w:cs="Arial"/>
                <w:color w:val="000000"/>
                <w:sz w:val="23"/>
                <w:szCs w:val="23"/>
              </w:rPr>
            </w:pPr>
          </w:p>
        </w:tc>
      </w:tr>
      <w:tr w:rsidR="003F2BB0" w:rsidRPr="003F2BB0" w:rsidTr="003F2BB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Arial" w:eastAsia="Times New Roman" w:hAnsi="Arial" w:cs="Arial"/>
                <w:b/>
                <w:bCs/>
                <w:color w:val="000000"/>
                <w:sz w:val="23"/>
                <w:szCs w:val="23"/>
              </w:rPr>
            </w:pPr>
            <w:r w:rsidRPr="003F2BB0">
              <w:rPr>
                <w:rFonts w:ascii="Arial" w:eastAsia="Times New Roman" w:hAnsi="Arial" w:cs="Arial"/>
                <w:b/>
                <w:bCs/>
                <w:color w:val="000000"/>
                <w:sz w:val="23"/>
                <w:szCs w:val="23"/>
              </w:rPr>
              <w:t>ENG-132</w:t>
            </w:r>
          </w:p>
        </w:tc>
        <w:tc>
          <w:tcPr>
            <w:tcW w:w="0" w:type="auto"/>
            <w:shd w:val="clear" w:color="auto" w:fill="FFFFFF"/>
            <w:tcMar>
              <w:top w:w="30" w:type="dxa"/>
              <w:left w:w="90" w:type="dxa"/>
              <w:bottom w:w="30" w:type="dxa"/>
              <w:right w:w="90" w:type="dxa"/>
            </w:tcMar>
            <w:hideMark/>
          </w:tcPr>
          <w:p w:rsidR="003F2BB0" w:rsidRPr="003F2BB0" w:rsidRDefault="003F2BB0" w:rsidP="003F2BB0">
            <w:pPr>
              <w:tabs>
                <w:tab w:val="left" w:pos="5640"/>
              </w:tabs>
              <w:spacing w:after="0" w:line="240" w:lineRule="auto"/>
              <w:rPr>
                <w:rFonts w:ascii="Arial" w:eastAsia="Times New Roman" w:hAnsi="Arial" w:cs="Arial"/>
                <w:b/>
                <w:bCs/>
                <w:color w:val="000000"/>
                <w:sz w:val="23"/>
                <w:szCs w:val="23"/>
              </w:rPr>
            </w:pPr>
            <w:r w:rsidRPr="003F2BB0">
              <w:rPr>
                <w:rFonts w:ascii="Arial" w:eastAsia="Times New Roman" w:hAnsi="Arial" w:cs="Arial"/>
                <w:b/>
                <w:bCs/>
                <w:color w:val="000000"/>
                <w:sz w:val="23"/>
                <w:szCs w:val="23"/>
              </w:rPr>
              <w:t>Introduction to Drama</w:t>
            </w:r>
            <w:r>
              <w:rPr>
                <w:rFonts w:ascii="Arial" w:eastAsia="Times New Roman" w:hAnsi="Arial" w:cs="Arial"/>
                <w:b/>
                <w:bCs/>
                <w:color w:val="000000"/>
                <w:sz w:val="23"/>
                <w:szCs w:val="23"/>
              </w:rPr>
              <w:t xml:space="preserve">                                                    ENG 132</w:t>
            </w:r>
          </w:p>
        </w:tc>
        <w:tc>
          <w:tcPr>
            <w:tcW w:w="0" w:type="auto"/>
            <w:gridSpan w:val="2"/>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Arial" w:eastAsia="Times New Roman" w:hAnsi="Arial" w:cs="Arial"/>
                <w:b/>
                <w:bCs/>
                <w:color w:val="000000"/>
                <w:sz w:val="23"/>
                <w:szCs w:val="23"/>
              </w:rPr>
            </w:pPr>
          </w:p>
        </w:tc>
      </w:tr>
    </w:tbl>
    <w:p w:rsidR="003F2BB0" w:rsidRPr="003F2BB0" w:rsidRDefault="003F2BB0" w:rsidP="003F2BB0">
      <w:pPr>
        <w:spacing w:after="0" w:line="240" w:lineRule="auto"/>
        <w:rPr>
          <w:rFonts w:ascii="Times New Roman" w:eastAsia="Times New Roman" w:hAnsi="Times New Roman" w:cs="Times New Roman"/>
          <w:vanish/>
          <w:sz w:val="24"/>
          <w:szCs w:val="24"/>
        </w:rPr>
      </w:pPr>
    </w:p>
    <w:p w:rsidR="003F2BB0" w:rsidRPr="003F2BB0" w:rsidRDefault="003F2BB0" w:rsidP="003F2BB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3F2BB0" w:rsidTr="003F2BB0">
        <w:trPr>
          <w:tblCellSpacing w:w="15" w:type="dxa"/>
        </w:trPr>
        <w:tc>
          <w:tcPr>
            <w:tcW w:w="0" w:type="auto"/>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Arial" w:eastAsia="Times New Roman" w:hAnsi="Arial" w:cs="Arial"/>
                <w:color w:val="000000"/>
                <w:sz w:val="23"/>
                <w:szCs w:val="23"/>
              </w:rPr>
            </w:pPr>
            <w:r w:rsidRPr="003F2BB0">
              <w:rPr>
                <w:rFonts w:ascii="Arial" w:eastAsia="Times New Roman" w:hAnsi="Arial" w:cs="Arial"/>
                <w:color w:val="000000"/>
                <w:sz w:val="23"/>
                <w:szCs w:val="23"/>
              </w:rPr>
              <w:t>This course provides intensive study of drama as a literary form, based on close reading of representative texts. Emphasis is placed on the development and analysis of drama. Upon completion, students should be able to interpret, analyze, and discuss the distinguishing features of drama.</w:t>
            </w:r>
          </w:p>
        </w:tc>
      </w:tr>
    </w:tbl>
    <w:p w:rsidR="003F2BB0" w:rsidRPr="003F2BB0"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3F2BB0" w:rsidTr="003F2BB0">
        <w:trPr>
          <w:tblCellSpacing w:w="15" w:type="dxa"/>
          <w:jc w:val="center"/>
        </w:trPr>
        <w:tc>
          <w:tcPr>
            <w:tcW w:w="0" w:type="auto"/>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Times New Roman" w:eastAsia="Times New Roman" w:hAnsi="Times New Roman" w:cs="Times New Roman"/>
                <w:sz w:val="24"/>
                <w:szCs w:val="24"/>
              </w:rPr>
            </w:pPr>
          </w:p>
        </w:tc>
      </w:tr>
    </w:tbl>
    <w:p w:rsidR="003F2BB0" w:rsidRPr="003F2BB0"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3F2BB0" w:rsidTr="003F2BB0">
        <w:trPr>
          <w:tblCellSpacing w:w="15" w:type="dxa"/>
          <w:jc w:val="center"/>
        </w:trPr>
        <w:tc>
          <w:tcPr>
            <w:tcW w:w="0" w:type="auto"/>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Times New Roman" w:eastAsia="Times New Roman" w:hAnsi="Times New Roman" w:cs="Times New Roman"/>
                <w:sz w:val="24"/>
                <w:szCs w:val="24"/>
              </w:rPr>
            </w:pPr>
          </w:p>
        </w:tc>
      </w:tr>
    </w:tbl>
    <w:p w:rsidR="003F2BB0" w:rsidRPr="003F2BB0"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3F2BB0" w:rsidTr="003F2BB0">
        <w:trPr>
          <w:tblCellSpacing w:w="15" w:type="dxa"/>
          <w:jc w:val="center"/>
        </w:trPr>
        <w:tc>
          <w:tcPr>
            <w:tcW w:w="1000" w:type="pct"/>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Arial" w:eastAsia="Times New Roman" w:hAnsi="Arial" w:cs="Arial"/>
                <w:color w:val="000000"/>
                <w:sz w:val="23"/>
                <w:szCs w:val="23"/>
              </w:rPr>
            </w:pPr>
            <w:r w:rsidRPr="003F2BB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Arial" w:eastAsia="Times New Roman" w:hAnsi="Arial" w:cs="Arial"/>
                <w:color w:val="000000"/>
                <w:sz w:val="23"/>
                <w:szCs w:val="23"/>
              </w:rPr>
            </w:pPr>
            <w:r w:rsidRPr="003F2BB0">
              <w:rPr>
                <w:rFonts w:ascii="Arial" w:eastAsia="Times New Roman" w:hAnsi="Arial" w:cs="Arial"/>
                <w:color w:val="000000"/>
                <w:sz w:val="23"/>
                <w:szCs w:val="23"/>
              </w:rPr>
              <w:t>Take ENG-111</w:t>
            </w:r>
          </w:p>
        </w:tc>
      </w:tr>
    </w:tbl>
    <w:p w:rsidR="003F2BB0" w:rsidRPr="003F2BB0"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3F2BB0" w:rsidTr="003F2BB0">
        <w:trPr>
          <w:tblCellSpacing w:w="15" w:type="dxa"/>
          <w:jc w:val="center"/>
        </w:trPr>
        <w:tc>
          <w:tcPr>
            <w:tcW w:w="1000" w:type="pct"/>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Arial" w:eastAsia="Times New Roman" w:hAnsi="Arial" w:cs="Arial"/>
                <w:color w:val="000000"/>
                <w:sz w:val="23"/>
                <w:szCs w:val="23"/>
              </w:rPr>
            </w:pPr>
            <w:r w:rsidRPr="003F2BB0">
              <w:rPr>
                <w:rFonts w:ascii="Arial" w:eastAsia="Times New Roman" w:hAnsi="Arial" w:cs="Arial"/>
                <w:color w:val="000000"/>
                <w:sz w:val="23"/>
                <w:szCs w:val="23"/>
              </w:rPr>
              <w:t xml:space="preserve">State </w:t>
            </w:r>
            <w:proofErr w:type="spellStart"/>
            <w:r w:rsidRPr="003F2BB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Arial" w:eastAsia="Times New Roman" w:hAnsi="Arial" w:cs="Arial"/>
                <w:color w:val="000000"/>
                <w:sz w:val="23"/>
                <w:szCs w:val="23"/>
              </w:rPr>
            </w:pPr>
            <w:r w:rsidRPr="003F2BB0">
              <w:rPr>
                <w:rFonts w:ascii="Arial" w:eastAsia="Times New Roman" w:hAnsi="Arial" w:cs="Arial"/>
                <w:color w:val="000000"/>
                <w:sz w:val="23"/>
                <w:szCs w:val="23"/>
              </w:rPr>
              <w:t>Take One: ENG-112, ENG-113, or ENG-114</w:t>
            </w:r>
          </w:p>
        </w:tc>
      </w:tr>
    </w:tbl>
    <w:p w:rsidR="003F2BB0" w:rsidRPr="003F2BB0"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52"/>
        <w:gridCol w:w="2809"/>
      </w:tblGrid>
      <w:tr w:rsidR="003F2BB0" w:rsidRPr="003F2BB0" w:rsidTr="00163A61">
        <w:trPr>
          <w:tblCellSpacing w:w="15" w:type="dxa"/>
          <w:jc w:val="center"/>
        </w:trPr>
        <w:tc>
          <w:tcPr>
            <w:tcW w:w="990" w:type="pct"/>
            <w:shd w:val="clear" w:color="auto" w:fill="FFFFFF"/>
            <w:tcMar>
              <w:top w:w="30" w:type="dxa"/>
              <w:left w:w="90" w:type="dxa"/>
              <w:bottom w:w="30" w:type="dxa"/>
              <w:right w:w="90" w:type="dxa"/>
            </w:tcMar>
            <w:hideMark/>
          </w:tcPr>
          <w:p w:rsidR="003F2BB0" w:rsidRPr="003F2BB0" w:rsidRDefault="003F2BB0" w:rsidP="003F2BB0">
            <w:pPr>
              <w:spacing w:after="0" w:line="240" w:lineRule="auto"/>
              <w:rPr>
                <w:rFonts w:ascii="Arial" w:eastAsia="Times New Roman" w:hAnsi="Arial" w:cs="Arial"/>
                <w:color w:val="000000"/>
                <w:sz w:val="23"/>
                <w:szCs w:val="23"/>
              </w:rPr>
            </w:pPr>
            <w:r w:rsidRPr="003F2BB0">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F2BB0" w:rsidRDefault="003F2BB0" w:rsidP="003F2BB0">
            <w:pPr>
              <w:spacing w:after="0" w:line="240" w:lineRule="auto"/>
              <w:rPr>
                <w:rFonts w:ascii="Arial" w:eastAsia="Times New Roman" w:hAnsi="Arial" w:cs="Arial"/>
                <w:color w:val="000000"/>
                <w:sz w:val="23"/>
                <w:szCs w:val="23"/>
              </w:rPr>
            </w:pPr>
            <w:r w:rsidRPr="003F2BB0">
              <w:rPr>
                <w:rFonts w:ascii="Arial" w:eastAsia="Times New Roman" w:hAnsi="Arial" w:cs="Arial"/>
                <w:color w:val="000000"/>
                <w:sz w:val="23"/>
                <w:szCs w:val="23"/>
              </w:rPr>
              <w:t xml:space="preserve">This course has been approved for transfer under the CAA as a </w:t>
            </w:r>
            <w:proofErr w:type="spellStart"/>
            <w:r w:rsidRPr="003F2BB0">
              <w:rPr>
                <w:rFonts w:ascii="Arial" w:eastAsia="Times New Roman" w:hAnsi="Arial" w:cs="Arial"/>
                <w:color w:val="000000"/>
                <w:sz w:val="23"/>
                <w:szCs w:val="23"/>
              </w:rPr>
              <w:t>premajor</w:t>
            </w:r>
            <w:proofErr w:type="spellEnd"/>
            <w:r w:rsidRPr="003F2BB0">
              <w:rPr>
                <w:rFonts w:ascii="Arial" w:eastAsia="Times New Roman" w:hAnsi="Arial" w:cs="Arial"/>
                <w:color w:val="000000"/>
                <w:sz w:val="23"/>
                <w:szCs w:val="23"/>
              </w:rPr>
              <w:t xml:space="preserve"> and/or elective course requirement.</w:t>
            </w:r>
            <w:r w:rsidRPr="003F2BB0">
              <w:rPr>
                <w:rFonts w:ascii="Arial" w:eastAsia="Times New Roman" w:hAnsi="Arial" w:cs="Arial"/>
                <w:color w:val="000000"/>
                <w:sz w:val="23"/>
                <w:szCs w:val="23"/>
              </w:rPr>
              <w:br/>
              <w:t xml:space="preserve">This course has been approved for transfer under the ICAA as a </w:t>
            </w:r>
            <w:proofErr w:type="spellStart"/>
            <w:r w:rsidRPr="003F2BB0">
              <w:rPr>
                <w:rFonts w:ascii="Arial" w:eastAsia="Times New Roman" w:hAnsi="Arial" w:cs="Arial"/>
                <w:color w:val="000000"/>
                <w:sz w:val="23"/>
                <w:szCs w:val="23"/>
              </w:rPr>
              <w:t>premajor</w:t>
            </w:r>
            <w:proofErr w:type="spellEnd"/>
            <w:r w:rsidRPr="003F2BB0">
              <w:rPr>
                <w:rFonts w:ascii="Arial" w:eastAsia="Times New Roman" w:hAnsi="Arial" w:cs="Arial"/>
                <w:color w:val="000000"/>
                <w:sz w:val="23"/>
                <w:szCs w:val="23"/>
              </w:rPr>
              <w:t xml:space="preserve"> and/or elective course requirement.</w:t>
            </w:r>
          </w:p>
          <w:p w:rsidR="00163A61" w:rsidRPr="003F2BB0" w:rsidRDefault="00163A61" w:rsidP="003F2BB0">
            <w:pPr>
              <w:spacing w:after="0" w:line="240" w:lineRule="auto"/>
              <w:rPr>
                <w:rFonts w:ascii="Arial" w:eastAsia="Times New Roman" w:hAnsi="Arial" w:cs="Arial"/>
                <w:color w:val="000000"/>
                <w:sz w:val="23"/>
                <w:szCs w:val="23"/>
              </w:rPr>
            </w:pPr>
          </w:p>
        </w:tc>
      </w:tr>
      <w:tr w:rsidR="00163A61" w:rsidRPr="00163A61" w:rsidTr="00163A6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HUM-115</w:t>
            </w:r>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Critical Thinking</w:t>
            </w:r>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HUM-115</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This course introduces the use of critical thinking skills in the context of human conflict. Emphasis is placed on evaluating information, problem solving, approaching cross-cultural perspectives, and resolving controversies and dilemmas. Upon completion, students should be able to demonstrate orally and in writing the use of critical thinking skills in the analysis of appropriate texts.</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jc w:val="center"/>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Times New Roman" w:eastAsia="Times New Roman" w:hAnsi="Times New Roman" w:cs="Times New Roman"/>
                <w:sz w:val="24"/>
                <w:szCs w:val="24"/>
              </w:rPr>
            </w:pP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jc w:val="center"/>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Times New Roman" w:eastAsia="Times New Roman" w:hAnsi="Times New Roman" w:cs="Times New Roman"/>
                <w:sz w:val="24"/>
                <w:szCs w:val="24"/>
              </w:rPr>
            </w:pP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63A61" w:rsidRPr="00163A61" w:rsidTr="00163A61">
        <w:trPr>
          <w:tblCellSpacing w:w="15" w:type="dxa"/>
          <w:jc w:val="center"/>
        </w:trPr>
        <w:tc>
          <w:tcPr>
            <w:tcW w:w="1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Take one set:</w:t>
            </w:r>
            <w:r w:rsidRPr="00163A61">
              <w:rPr>
                <w:rFonts w:ascii="Arial" w:eastAsia="Times New Roman" w:hAnsi="Arial" w:cs="Arial"/>
                <w:color w:val="000000"/>
                <w:sz w:val="23"/>
                <w:szCs w:val="23"/>
              </w:rPr>
              <w:br/>
              <w:t>Set 1: DRE-098</w:t>
            </w:r>
            <w:r w:rsidRPr="00163A61">
              <w:rPr>
                <w:rFonts w:ascii="Arial" w:eastAsia="Times New Roman" w:hAnsi="Arial" w:cs="Arial"/>
                <w:color w:val="000000"/>
                <w:sz w:val="23"/>
                <w:szCs w:val="23"/>
              </w:rPr>
              <w:br/>
              <w:t>Set 2: ENG-002</w:t>
            </w:r>
            <w:r w:rsidRPr="00163A61">
              <w:rPr>
                <w:rFonts w:ascii="Arial" w:eastAsia="Times New Roman" w:hAnsi="Arial" w:cs="Arial"/>
                <w:color w:val="000000"/>
                <w:sz w:val="23"/>
                <w:szCs w:val="23"/>
              </w:rPr>
              <w:br/>
              <w:t>Set 3: BSP-4002</w:t>
            </w:r>
            <w:r w:rsidRPr="00163A61">
              <w:rPr>
                <w:rFonts w:ascii="Arial" w:eastAsia="Times New Roman" w:hAnsi="Arial" w:cs="Arial"/>
                <w:color w:val="000000"/>
                <w:sz w:val="23"/>
                <w:szCs w:val="23"/>
              </w:rPr>
              <w:br/>
              <w:t>Set 4: ENG-111</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63A61" w:rsidRPr="00163A61" w:rsidTr="00163A61">
        <w:trPr>
          <w:tblCellSpacing w:w="15" w:type="dxa"/>
          <w:jc w:val="center"/>
        </w:trPr>
        <w:tc>
          <w:tcPr>
            <w:tcW w:w="1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 xml:space="preserve">State </w:t>
            </w:r>
            <w:proofErr w:type="spellStart"/>
            <w:r w:rsidRPr="00163A6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None</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06"/>
        <w:gridCol w:w="2855"/>
      </w:tblGrid>
      <w:tr w:rsidR="00163A61" w:rsidRPr="00163A61" w:rsidTr="00163A61">
        <w:trPr>
          <w:tblCellSpacing w:w="15" w:type="dxa"/>
          <w:jc w:val="center"/>
        </w:trPr>
        <w:tc>
          <w:tcPr>
            <w:tcW w:w="99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This course has been approved for transfer under the CAA as a general education course in Humanities/Fine Arts.</w:t>
            </w:r>
            <w:r w:rsidRPr="00163A61">
              <w:rPr>
                <w:rFonts w:ascii="Arial" w:eastAsia="Times New Roman" w:hAnsi="Arial" w:cs="Arial"/>
                <w:color w:val="000000"/>
                <w:sz w:val="23"/>
                <w:szCs w:val="23"/>
              </w:rPr>
              <w:br/>
              <w:t>This course has been approved for transfer under the ICAA as a general education course in Humanities/Fine Arts</w:t>
            </w:r>
            <w:r>
              <w:rPr>
                <w:rFonts w:ascii="Arial" w:eastAsia="Times New Roman" w:hAnsi="Arial" w:cs="Arial"/>
                <w:color w:val="000000"/>
                <w:sz w:val="23"/>
                <w:szCs w:val="23"/>
              </w:rPr>
              <w:t>.</w:t>
            </w:r>
          </w:p>
          <w:p w:rsidR="00163A61" w:rsidRPr="00163A61" w:rsidRDefault="00163A61" w:rsidP="00163A61">
            <w:pPr>
              <w:spacing w:after="0" w:line="240" w:lineRule="auto"/>
              <w:rPr>
                <w:rFonts w:ascii="Arial" w:eastAsia="Times New Roman" w:hAnsi="Arial" w:cs="Arial"/>
                <w:color w:val="000000"/>
                <w:sz w:val="23"/>
                <w:szCs w:val="23"/>
              </w:rPr>
            </w:pPr>
          </w:p>
        </w:tc>
      </w:tr>
      <w:tr w:rsidR="00163A61" w:rsidRPr="00163A61" w:rsidTr="00163A6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63A61" w:rsidRPr="00163A61" w:rsidRDefault="00163A61" w:rsidP="00162C7C">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HUM-120</w:t>
            </w:r>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Cultural Studies</w:t>
            </w:r>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HUM-120</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This course introduces the distinctive features of a particular culture. Topics include art, history, music, literature, politics, philosophy, and religion. Upon completion, students should be able to appreciate the unique character of the study culture.</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jc w:val="center"/>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Times New Roman" w:eastAsia="Times New Roman" w:hAnsi="Times New Roman" w:cs="Times New Roman"/>
                <w:sz w:val="24"/>
                <w:szCs w:val="24"/>
              </w:rPr>
            </w:pP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jc w:val="center"/>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Times New Roman" w:eastAsia="Times New Roman" w:hAnsi="Times New Roman" w:cs="Times New Roman"/>
                <w:sz w:val="24"/>
                <w:szCs w:val="24"/>
              </w:rPr>
            </w:pP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63A61" w:rsidRPr="00163A61" w:rsidTr="00163A61">
        <w:trPr>
          <w:tblCellSpacing w:w="15" w:type="dxa"/>
          <w:jc w:val="center"/>
        </w:trPr>
        <w:tc>
          <w:tcPr>
            <w:tcW w:w="1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None</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63A61" w:rsidRPr="00163A61" w:rsidTr="00163A61">
        <w:trPr>
          <w:tblCellSpacing w:w="15" w:type="dxa"/>
          <w:jc w:val="center"/>
        </w:trPr>
        <w:tc>
          <w:tcPr>
            <w:tcW w:w="1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 xml:space="preserve">State </w:t>
            </w:r>
            <w:proofErr w:type="spellStart"/>
            <w:r w:rsidRPr="00163A6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None</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68"/>
        <w:gridCol w:w="2593"/>
      </w:tblGrid>
      <w:tr w:rsidR="00163A61" w:rsidRPr="00163A61" w:rsidTr="00DB5233">
        <w:trPr>
          <w:tblCellSpacing w:w="15" w:type="dxa"/>
          <w:jc w:val="center"/>
        </w:trPr>
        <w:tc>
          <w:tcPr>
            <w:tcW w:w="99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This course has been approved for transfer under the CAA as a general education course in Humanities/Fine Arts.</w:t>
            </w:r>
            <w:r w:rsidRPr="00163A61">
              <w:rPr>
                <w:rFonts w:ascii="Arial" w:eastAsia="Times New Roman" w:hAnsi="Arial" w:cs="Arial"/>
                <w:color w:val="000000"/>
                <w:sz w:val="23"/>
                <w:szCs w:val="23"/>
              </w:rPr>
              <w:br/>
              <w:t>This course has been approved for transfer under the ICAA as a general education course in Humanities/Fine Arts</w:t>
            </w:r>
            <w:r>
              <w:rPr>
                <w:rFonts w:ascii="Arial" w:eastAsia="Times New Roman" w:hAnsi="Arial" w:cs="Arial"/>
                <w:color w:val="000000"/>
                <w:sz w:val="23"/>
                <w:szCs w:val="23"/>
              </w:rPr>
              <w:t>.</w:t>
            </w:r>
          </w:p>
          <w:p w:rsidR="00163A61" w:rsidRPr="00163A61" w:rsidRDefault="00163A61" w:rsidP="00163A61">
            <w:pPr>
              <w:spacing w:after="0" w:line="240" w:lineRule="auto"/>
              <w:rPr>
                <w:rFonts w:ascii="Arial" w:eastAsia="Times New Roman" w:hAnsi="Arial" w:cs="Arial"/>
                <w:color w:val="000000"/>
                <w:sz w:val="23"/>
                <w:szCs w:val="23"/>
              </w:rPr>
            </w:pPr>
          </w:p>
        </w:tc>
      </w:tr>
      <w:tr w:rsidR="00DB5233" w:rsidRPr="00DB5233" w:rsidTr="00DB52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b/>
                <w:bCs/>
                <w:color w:val="000000"/>
                <w:sz w:val="23"/>
                <w:szCs w:val="23"/>
              </w:rPr>
            </w:pPr>
            <w:r w:rsidRPr="00DB5233">
              <w:rPr>
                <w:rFonts w:ascii="Arial" w:eastAsia="Times New Roman" w:hAnsi="Arial" w:cs="Arial"/>
                <w:b/>
                <w:bCs/>
                <w:color w:val="000000"/>
                <w:sz w:val="23"/>
                <w:szCs w:val="23"/>
              </w:rPr>
              <w:t>REL-111</w:t>
            </w:r>
          </w:p>
        </w:tc>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b/>
                <w:bCs/>
                <w:color w:val="000000"/>
                <w:sz w:val="23"/>
                <w:szCs w:val="23"/>
              </w:rPr>
            </w:pPr>
            <w:r w:rsidRPr="00DB5233">
              <w:rPr>
                <w:rFonts w:ascii="Arial" w:eastAsia="Times New Roman" w:hAnsi="Arial" w:cs="Arial"/>
                <w:b/>
                <w:bCs/>
                <w:color w:val="000000"/>
                <w:sz w:val="23"/>
                <w:szCs w:val="23"/>
              </w:rPr>
              <w:t>Eastern Religions</w:t>
            </w:r>
          </w:p>
        </w:tc>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b/>
                <w:bCs/>
                <w:color w:val="000000"/>
                <w:sz w:val="23"/>
                <w:szCs w:val="23"/>
              </w:rPr>
            </w:pPr>
            <w:r w:rsidRPr="00DB5233">
              <w:rPr>
                <w:rFonts w:ascii="Arial" w:eastAsia="Times New Roman" w:hAnsi="Arial" w:cs="Arial"/>
                <w:b/>
                <w:bCs/>
                <w:color w:val="000000"/>
                <w:sz w:val="23"/>
                <w:szCs w:val="23"/>
              </w:rPr>
              <w:t>REL-111</w:t>
            </w: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B5233" w:rsidRPr="00DB5233" w:rsidTr="00DB5233">
        <w:trPr>
          <w:tblCellSpacing w:w="15" w:type="dxa"/>
        </w:trPr>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This course introduces the major Asian religious traditions. Topics include Hinduism, Buddhism, Taoism, Confucianism, and Shinto. Upon completion, students should be able to identify the origins, history, beliefs, and practices of the religions studied.</w:t>
            </w: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B5233" w:rsidRPr="00DB5233" w:rsidTr="00DB5233">
        <w:trPr>
          <w:tblCellSpacing w:w="15" w:type="dxa"/>
          <w:jc w:val="center"/>
        </w:trPr>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Times New Roman" w:eastAsia="Times New Roman" w:hAnsi="Times New Roman" w:cs="Times New Roman"/>
                <w:sz w:val="24"/>
                <w:szCs w:val="24"/>
              </w:rPr>
            </w:pP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B5233" w:rsidRPr="00DB5233" w:rsidTr="00DB5233">
        <w:trPr>
          <w:tblCellSpacing w:w="15" w:type="dxa"/>
          <w:jc w:val="center"/>
        </w:trPr>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Times New Roman" w:eastAsia="Times New Roman" w:hAnsi="Times New Roman" w:cs="Times New Roman"/>
                <w:sz w:val="24"/>
                <w:szCs w:val="24"/>
              </w:rPr>
            </w:pP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B5233" w:rsidRPr="00DB5233" w:rsidTr="00DB5233">
        <w:trPr>
          <w:tblCellSpacing w:w="15" w:type="dxa"/>
          <w:jc w:val="center"/>
        </w:trPr>
        <w:tc>
          <w:tcPr>
            <w:tcW w:w="1000" w:type="pct"/>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None</w:t>
            </w: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B5233" w:rsidRPr="00DB5233" w:rsidTr="00DB5233">
        <w:trPr>
          <w:tblCellSpacing w:w="15" w:type="dxa"/>
          <w:jc w:val="center"/>
        </w:trPr>
        <w:tc>
          <w:tcPr>
            <w:tcW w:w="1000" w:type="pct"/>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 xml:space="preserve">State </w:t>
            </w:r>
            <w:proofErr w:type="spellStart"/>
            <w:r w:rsidRPr="00DB52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None</w:t>
            </w: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12"/>
        <w:gridCol w:w="2549"/>
      </w:tblGrid>
      <w:tr w:rsidR="00DB5233" w:rsidRPr="00DB5233" w:rsidTr="00DB5233">
        <w:trPr>
          <w:tblCellSpacing w:w="15" w:type="dxa"/>
          <w:jc w:val="center"/>
        </w:trPr>
        <w:tc>
          <w:tcPr>
            <w:tcW w:w="990" w:type="pct"/>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This course has been approved for transfer under the CAA as a general education course in Humanities/Fine Arts.</w:t>
            </w:r>
            <w:r w:rsidRPr="00DB5233">
              <w:rPr>
                <w:rFonts w:ascii="Arial" w:eastAsia="Times New Roman" w:hAnsi="Arial" w:cs="Arial"/>
                <w:color w:val="000000"/>
                <w:sz w:val="23"/>
                <w:szCs w:val="23"/>
              </w:rPr>
              <w:br/>
              <w:t>This course has been approved for transfer under the ICAA as a general education course in Humanities/Fine Arts.</w:t>
            </w:r>
          </w:p>
          <w:p w:rsidR="00DB5233" w:rsidRPr="00DB5233" w:rsidRDefault="00DB5233" w:rsidP="00DB5233">
            <w:pPr>
              <w:spacing w:after="0" w:line="240" w:lineRule="auto"/>
              <w:rPr>
                <w:rFonts w:ascii="Arial" w:eastAsia="Times New Roman" w:hAnsi="Arial" w:cs="Arial"/>
                <w:color w:val="000000"/>
                <w:sz w:val="23"/>
                <w:szCs w:val="23"/>
              </w:rPr>
            </w:pPr>
          </w:p>
        </w:tc>
      </w:tr>
      <w:tr w:rsidR="00DB5233" w:rsidRPr="00DB5233" w:rsidTr="00DB52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b/>
                <w:bCs/>
                <w:color w:val="000000"/>
                <w:sz w:val="23"/>
                <w:szCs w:val="23"/>
              </w:rPr>
            </w:pPr>
            <w:r w:rsidRPr="00DB5233">
              <w:rPr>
                <w:rFonts w:ascii="Arial" w:eastAsia="Times New Roman" w:hAnsi="Arial" w:cs="Arial"/>
                <w:b/>
                <w:bCs/>
                <w:color w:val="000000"/>
                <w:sz w:val="23"/>
                <w:szCs w:val="23"/>
              </w:rPr>
              <w:t>REL-112</w:t>
            </w:r>
          </w:p>
        </w:tc>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b/>
                <w:bCs/>
                <w:color w:val="000000"/>
                <w:sz w:val="23"/>
                <w:szCs w:val="23"/>
              </w:rPr>
            </w:pPr>
            <w:r w:rsidRPr="00DB5233">
              <w:rPr>
                <w:rFonts w:ascii="Arial" w:eastAsia="Times New Roman" w:hAnsi="Arial" w:cs="Arial"/>
                <w:b/>
                <w:bCs/>
                <w:color w:val="000000"/>
                <w:sz w:val="23"/>
                <w:szCs w:val="23"/>
              </w:rPr>
              <w:t>Western Religions</w:t>
            </w:r>
          </w:p>
        </w:tc>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b/>
                <w:bCs/>
                <w:color w:val="000000"/>
                <w:sz w:val="23"/>
                <w:szCs w:val="23"/>
              </w:rPr>
            </w:pPr>
            <w:r w:rsidRPr="00DB5233">
              <w:rPr>
                <w:rFonts w:ascii="Arial" w:eastAsia="Times New Roman" w:hAnsi="Arial" w:cs="Arial"/>
                <w:b/>
                <w:bCs/>
                <w:color w:val="000000"/>
                <w:sz w:val="23"/>
                <w:szCs w:val="23"/>
              </w:rPr>
              <w:t>REL-112</w:t>
            </w: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B5233" w:rsidRPr="00DB5233" w:rsidTr="00DB5233">
        <w:trPr>
          <w:tblCellSpacing w:w="15" w:type="dxa"/>
        </w:trPr>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This course introduces the major western religious traditions. Topics include Zoroastrianism, Islam, Judaism, and Christianity. Upon completion, students should be able to identify the origins, history, beliefs, and practices of the religions studied.</w:t>
            </w: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B5233" w:rsidRPr="00DB5233" w:rsidTr="00DB5233">
        <w:trPr>
          <w:tblCellSpacing w:w="15" w:type="dxa"/>
          <w:jc w:val="center"/>
        </w:trPr>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Times New Roman" w:eastAsia="Times New Roman" w:hAnsi="Times New Roman" w:cs="Times New Roman"/>
                <w:sz w:val="24"/>
                <w:szCs w:val="24"/>
              </w:rPr>
            </w:pP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B5233" w:rsidRPr="00DB5233" w:rsidTr="00DB5233">
        <w:trPr>
          <w:tblCellSpacing w:w="15" w:type="dxa"/>
          <w:jc w:val="center"/>
        </w:trPr>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Times New Roman" w:eastAsia="Times New Roman" w:hAnsi="Times New Roman" w:cs="Times New Roman"/>
                <w:sz w:val="24"/>
                <w:szCs w:val="24"/>
              </w:rPr>
            </w:pP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B5233" w:rsidRPr="00DB5233" w:rsidTr="00DB5233">
        <w:trPr>
          <w:tblCellSpacing w:w="15" w:type="dxa"/>
          <w:jc w:val="center"/>
        </w:trPr>
        <w:tc>
          <w:tcPr>
            <w:tcW w:w="1000" w:type="pct"/>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None</w:t>
            </w: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B5233" w:rsidRPr="00DB5233" w:rsidTr="00DB5233">
        <w:trPr>
          <w:tblCellSpacing w:w="15" w:type="dxa"/>
          <w:jc w:val="center"/>
        </w:trPr>
        <w:tc>
          <w:tcPr>
            <w:tcW w:w="1000" w:type="pct"/>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 xml:space="preserve">State </w:t>
            </w:r>
            <w:proofErr w:type="spellStart"/>
            <w:r w:rsidRPr="00DB52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None</w:t>
            </w:r>
          </w:p>
        </w:tc>
      </w:tr>
    </w:tbl>
    <w:p w:rsidR="00DB5233" w:rsidRPr="00DB5233" w:rsidRDefault="00DB5233" w:rsidP="00DB52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07"/>
        <w:gridCol w:w="2654"/>
      </w:tblGrid>
      <w:tr w:rsidR="00DB5233" w:rsidRPr="00DB5233" w:rsidTr="003A3B28">
        <w:trPr>
          <w:tblCellSpacing w:w="15" w:type="dxa"/>
          <w:jc w:val="center"/>
        </w:trPr>
        <w:tc>
          <w:tcPr>
            <w:tcW w:w="990" w:type="pct"/>
            <w:shd w:val="clear" w:color="auto" w:fill="FFFFFF"/>
            <w:tcMar>
              <w:top w:w="30" w:type="dxa"/>
              <w:left w:w="90" w:type="dxa"/>
              <w:bottom w:w="30" w:type="dxa"/>
              <w:right w:w="90" w:type="dxa"/>
            </w:tcMar>
            <w:hideMark/>
          </w:tcPr>
          <w:p w:rsidR="00DB5233" w:rsidRP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B5233" w:rsidRDefault="00DB5233" w:rsidP="00DB5233">
            <w:pPr>
              <w:spacing w:after="0" w:line="240" w:lineRule="auto"/>
              <w:rPr>
                <w:rFonts w:ascii="Arial" w:eastAsia="Times New Roman" w:hAnsi="Arial" w:cs="Arial"/>
                <w:color w:val="000000"/>
                <w:sz w:val="23"/>
                <w:szCs w:val="23"/>
              </w:rPr>
            </w:pPr>
            <w:r w:rsidRPr="00DB5233">
              <w:rPr>
                <w:rFonts w:ascii="Arial" w:eastAsia="Times New Roman" w:hAnsi="Arial" w:cs="Arial"/>
                <w:color w:val="000000"/>
                <w:sz w:val="23"/>
                <w:szCs w:val="23"/>
              </w:rPr>
              <w:t>This course has been approved for transfer under the CAA as a general education course in Humanities/Fine Arts.</w:t>
            </w:r>
            <w:r w:rsidRPr="00DB5233">
              <w:rPr>
                <w:rFonts w:ascii="Arial" w:eastAsia="Times New Roman" w:hAnsi="Arial" w:cs="Arial"/>
                <w:color w:val="000000"/>
                <w:sz w:val="23"/>
                <w:szCs w:val="23"/>
              </w:rPr>
              <w:br/>
              <w:t>This course has been approved for transfer under the ICAA as a general education course in Humanities/Fine Arts.</w:t>
            </w:r>
          </w:p>
          <w:p w:rsidR="003A3B28" w:rsidRPr="00DB5233" w:rsidRDefault="003A3B28" w:rsidP="00DB5233">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ART-111</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 Appreciation</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ART-111</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introduces the origins and historical development of art. Emphasis is placed on the relationship of design principles to various art forms including but not limited to sculpture, painting, and architecture. Upon completion, students should be able to identify and analyze a variety of artistic styles, periods, and media.</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49"/>
        <w:gridCol w:w="2512"/>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t>This course has been approved for transfer under the ICAA as a general education course in Humanities/Fine Arts.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ART-114</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 History Survey I</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ART-114</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covers the development of art forms from ancient times to the Renaissance. Emphasis is placed on content, terminology, design, and style. Upon completion, students should be able to demonstrate an historical understanding of art as a product reflective of human social development.</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89"/>
        <w:gridCol w:w="2472"/>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t>This course has been approved for transfer under the ICAA as a general education course in Humanities/Fine Arts.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ART-115</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 History Survey II</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ART-115</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
        <w:gridCol w:w="231"/>
      </w:tblGrid>
      <w:tr w:rsidR="003A3B28" w:rsidRPr="003A3B28" w:rsidTr="003A3B28">
        <w:trPr>
          <w:tblCellSpacing w:w="15" w:type="dxa"/>
        </w:trPr>
        <w:tc>
          <w:tcPr>
            <w:tcW w:w="0" w:type="auto"/>
            <w:shd w:val="clear" w:color="auto" w:fill="FFFFFF"/>
            <w:tcMar>
              <w:top w:w="30" w:type="dxa"/>
              <w:left w:w="90" w:type="dxa"/>
              <w:bottom w:w="30" w:type="dxa"/>
              <w:right w:w="90" w:type="dxa"/>
            </w:tcMar>
          </w:tcPr>
          <w:p w:rsidR="003A3B28" w:rsidRPr="003A3B28" w:rsidRDefault="003A3B28" w:rsidP="003A3B28">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3A3B28" w:rsidRPr="003A3B28" w:rsidRDefault="003A3B28" w:rsidP="003A3B28">
            <w:pPr>
              <w:spacing w:after="0" w:line="240" w:lineRule="auto"/>
              <w:rPr>
                <w:rFonts w:ascii="Arial" w:eastAsia="Times New Roman" w:hAnsi="Arial" w:cs="Arial"/>
                <w:color w:val="000000"/>
                <w:sz w:val="23"/>
                <w:szCs w:val="23"/>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covers the development of art forms from the Renaissance to the present. Emphasis is placed on content, terminology, design, and style. Upon completion, students should be able to demonstrate an historical understanding of art as a product reflective of human social development.</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50"/>
        <w:gridCol w:w="2211"/>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t>This course has been approved for transfer under the ICAA as a general education course in Humanities/Fine Arts.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ART-117</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Non-Western Art History</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ART-117</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introduces non-Western cultural perspectives. Emphasis is placed on, but not limited to, African, Oriental, and Oceanic art forms throughout history. Upon completion, students should be able to demonstrate an historical understanding of art as a product reflective of non-Western social and cultural development.</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60"/>
        <w:gridCol w:w="2501"/>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t>This course has been approved for transfer under the ICAA as a general education course in Humanities/Fine Arts.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162C7C">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MUS-110</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Music Appreciation</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MUS-110</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S13676</w:t>
            </w:r>
          </w:p>
        </w:tc>
      </w:tr>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Summer 1997</w:t>
            </w:r>
          </w:p>
        </w:tc>
      </w:tr>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3</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is a basic survey of the music of the Western world. Emphasis is placed on the elements of music, terminology, composers, form, and style within a historical perspective. Upon completion, students should be able to demonstrate skills in basic listening and understanding of the art of music.</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95"/>
        <w:gridCol w:w="2166"/>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t>This course has been approved for transfer under the ICAA as a general education course in Humanities/Fine Arts.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ECO-251</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proofErr w:type="spellStart"/>
            <w:r w:rsidRPr="003A3B28">
              <w:rPr>
                <w:rFonts w:ascii="Arial" w:eastAsia="Times New Roman" w:hAnsi="Arial" w:cs="Arial"/>
                <w:b/>
                <w:bCs/>
                <w:color w:val="000000"/>
                <w:sz w:val="23"/>
                <w:szCs w:val="23"/>
              </w:rPr>
              <w:t>Prin</w:t>
            </w:r>
            <w:proofErr w:type="spellEnd"/>
            <w:r w:rsidRPr="003A3B28">
              <w:rPr>
                <w:rFonts w:ascii="Arial" w:eastAsia="Times New Roman" w:hAnsi="Arial" w:cs="Arial"/>
                <w:b/>
                <w:bCs/>
                <w:color w:val="000000"/>
                <w:sz w:val="23"/>
                <w:szCs w:val="23"/>
              </w:rPr>
              <w:t xml:space="preserve"> of Microeconomics</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ECO-251</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33"/>
        <w:gridCol w:w="2128"/>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Social/Behavioral Sciences.</w:t>
            </w:r>
            <w:r w:rsidRPr="003A3B28">
              <w:rPr>
                <w:rFonts w:ascii="Arial" w:eastAsia="Times New Roman" w:hAnsi="Arial" w:cs="Arial"/>
                <w:color w:val="000000"/>
                <w:sz w:val="23"/>
                <w:szCs w:val="23"/>
              </w:rPr>
              <w:br/>
              <w:t>This course has been approved for transfer under the ICAA as a general education course in Social/Behavioral Sciences.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ECO-252</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proofErr w:type="spellStart"/>
            <w:r w:rsidRPr="003A3B28">
              <w:rPr>
                <w:rFonts w:ascii="Arial" w:eastAsia="Times New Roman" w:hAnsi="Arial" w:cs="Arial"/>
                <w:b/>
                <w:bCs/>
                <w:color w:val="000000"/>
                <w:sz w:val="23"/>
                <w:szCs w:val="23"/>
              </w:rPr>
              <w:t>Prin</w:t>
            </w:r>
            <w:proofErr w:type="spellEnd"/>
            <w:r w:rsidRPr="003A3B28">
              <w:rPr>
                <w:rFonts w:ascii="Arial" w:eastAsia="Times New Roman" w:hAnsi="Arial" w:cs="Arial"/>
                <w:b/>
                <w:bCs/>
                <w:color w:val="000000"/>
                <w:sz w:val="23"/>
                <w:szCs w:val="23"/>
              </w:rPr>
              <w:t xml:space="preserve"> of Macroeconomics</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ECO-252</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91"/>
        <w:gridCol w:w="2270"/>
      </w:tblGrid>
      <w:tr w:rsidR="003A3B28" w:rsidRPr="003A3B28" w:rsidTr="00E70833">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Social/Behavioral Sciences.</w:t>
            </w:r>
            <w:r w:rsidRPr="003A3B28">
              <w:rPr>
                <w:rFonts w:ascii="Arial" w:eastAsia="Times New Roman" w:hAnsi="Arial" w:cs="Arial"/>
                <w:color w:val="000000"/>
                <w:sz w:val="23"/>
                <w:szCs w:val="23"/>
              </w:rPr>
              <w:br/>
              <w:t>This course has been approved for transfer under the ICAA as a general education course in Social/Behavioral Sciences.</w:t>
            </w:r>
          </w:p>
          <w:p w:rsidR="00E70833" w:rsidRDefault="00E70833" w:rsidP="003A3B28">
            <w:pPr>
              <w:spacing w:after="0" w:line="240" w:lineRule="auto"/>
              <w:rPr>
                <w:rFonts w:ascii="Arial" w:eastAsia="Times New Roman" w:hAnsi="Arial" w:cs="Arial"/>
                <w:color w:val="000000"/>
                <w:sz w:val="23"/>
                <w:szCs w:val="23"/>
              </w:rPr>
            </w:pPr>
          </w:p>
          <w:p w:rsidR="003A3B28" w:rsidRPr="003A3B28" w:rsidRDefault="003A3B28" w:rsidP="003A3B28">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HIS-111</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World Civilizations I</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HIS-111</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introduces world history from the dawn of civilization to the early modern era. Topics include Eurasian, African, American, and Greco-Roman civilizations and Christian, Islamic and Byzantine cultures. Upon completion, students should be able to analyze significant political, socioeconomic, and cultural developments in pre-modern world civilizations.</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27"/>
        <w:gridCol w:w="2234"/>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HIS-112</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World Civilizations II</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HIS-112</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introduces world history from the early modern era to the present. Topics include the cultures of Africa, Europe, India, China, Japan, and the Americas. Upon completion, students should be able to analyze significant political, socioeconomic, and cultural developments in modern world civilizations.</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7"/>
        <w:gridCol w:w="2404"/>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HIS-131</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American History I</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HIS-131</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is a survey of American history from pre-history through the Civil War era. Topics include the migrations to the Americas, the colonial and revolutionary periods, the development of the Republic, and the Civil War. Upon completion, students should be able to analyze significant political, socioeconomic, and cultural developments in early American history.</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97"/>
        <w:gridCol w:w="2364"/>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HIS-132</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American History II</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HIS-132</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is a survey of American history from the Civil War era to the present. Topics include industrialization, immigration, the Great Depression, the major American wars, the Cold War, and social conflict. Upon completion, students should be able to analyze significant political, socioeconomic, and cultural developments in American history since the Civil War.</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39"/>
        <w:gridCol w:w="2022"/>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HIS-221</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African-American History</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HIS-221</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
        <w:gridCol w:w="231"/>
      </w:tblGrid>
      <w:tr w:rsidR="00E70833" w:rsidRPr="00E70833" w:rsidTr="00E70833">
        <w:trPr>
          <w:tblCellSpacing w:w="15" w:type="dxa"/>
        </w:trPr>
        <w:tc>
          <w:tcPr>
            <w:tcW w:w="0" w:type="auto"/>
            <w:shd w:val="clear" w:color="auto" w:fill="FFFFFF"/>
            <w:tcMar>
              <w:top w:w="30" w:type="dxa"/>
              <w:left w:w="90" w:type="dxa"/>
              <w:bottom w:w="30" w:type="dxa"/>
              <w:right w:w="90" w:type="dxa"/>
            </w:tcMar>
          </w:tcPr>
          <w:p w:rsidR="00E70833" w:rsidRPr="00E70833" w:rsidRDefault="00E70833" w:rsidP="00E70833">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rPr>
          <w:tblCellSpacing w:w="15" w:type="dxa"/>
        </w:trPr>
        <w:tc>
          <w:tcPr>
            <w:tcW w:w="0" w:type="auto"/>
            <w:shd w:val="clear" w:color="auto" w:fill="FFFFFF"/>
            <w:tcMar>
              <w:top w:w="30" w:type="dxa"/>
              <w:left w:w="90" w:type="dxa"/>
              <w:bottom w:w="30" w:type="dxa"/>
              <w:right w:w="90" w:type="dxa"/>
            </w:tcMar>
          </w:tcPr>
          <w:p w:rsidR="00E70833" w:rsidRPr="00E70833" w:rsidRDefault="00E70833" w:rsidP="00E70833">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E70833" w:rsidRPr="00E70833" w:rsidRDefault="00E70833" w:rsidP="00E70833">
            <w:pPr>
              <w:spacing w:after="0" w:line="240" w:lineRule="auto"/>
              <w:rPr>
                <w:rFonts w:ascii="Arial" w:eastAsia="Times New Roman" w:hAnsi="Arial" w:cs="Arial"/>
                <w:color w:val="000000"/>
                <w:sz w:val="23"/>
                <w:szCs w:val="23"/>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covers African-American history from the Colonial period to the present. Topics include African origins, the slave trade, the Civil War, Reconstruction, the Jim Crow era, the civil rights movement, and contributions of African Americans. Upon completion, students should be able to analyze significant political, socioeconomic, and cultural developments in the history of African Americans.</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6"/>
        <w:gridCol w:w="2385"/>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This course has been approved for transfer under the CAA as a </w:t>
            </w:r>
            <w:proofErr w:type="spellStart"/>
            <w:r w:rsidRPr="00E70833">
              <w:rPr>
                <w:rFonts w:ascii="Arial" w:eastAsia="Times New Roman" w:hAnsi="Arial" w:cs="Arial"/>
                <w:color w:val="000000"/>
                <w:sz w:val="23"/>
                <w:szCs w:val="23"/>
              </w:rPr>
              <w:t>premajor</w:t>
            </w:r>
            <w:proofErr w:type="spellEnd"/>
            <w:r w:rsidRPr="00E70833">
              <w:rPr>
                <w:rFonts w:ascii="Arial" w:eastAsia="Times New Roman" w:hAnsi="Arial" w:cs="Arial"/>
                <w:color w:val="000000"/>
                <w:sz w:val="23"/>
                <w:szCs w:val="23"/>
              </w:rPr>
              <w:t xml:space="preserve"> and/or elective course requirement.</w:t>
            </w:r>
            <w:r w:rsidRPr="00E70833">
              <w:rPr>
                <w:rFonts w:ascii="Arial" w:eastAsia="Times New Roman" w:hAnsi="Arial" w:cs="Arial"/>
                <w:color w:val="000000"/>
                <w:sz w:val="23"/>
                <w:szCs w:val="23"/>
              </w:rPr>
              <w:br/>
              <w:t xml:space="preserve">This course has been approved for transfer under the ICAA as a </w:t>
            </w:r>
            <w:proofErr w:type="spellStart"/>
            <w:r w:rsidRPr="00E70833">
              <w:rPr>
                <w:rFonts w:ascii="Arial" w:eastAsia="Times New Roman" w:hAnsi="Arial" w:cs="Arial"/>
                <w:color w:val="000000"/>
                <w:sz w:val="23"/>
                <w:szCs w:val="23"/>
              </w:rPr>
              <w:t>premajor</w:t>
            </w:r>
            <w:proofErr w:type="spellEnd"/>
            <w:r w:rsidRPr="00E70833">
              <w:rPr>
                <w:rFonts w:ascii="Arial" w:eastAsia="Times New Roman" w:hAnsi="Arial" w:cs="Arial"/>
                <w:color w:val="000000"/>
                <w:sz w:val="23"/>
                <w:szCs w:val="23"/>
              </w:rPr>
              <w:t xml:space="preserve"> and/or elective course requirement.</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PSY-150</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PSY-150</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17"/>
        <w:gridCol w:w="2244"/>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PSY-241</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Developmental Psych</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PSY-241</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is a study of human growth and development. Emphasis is placed on major theories and perspectives as they relate to the physical, cognitive, and psychosocial aspects of development from conception to death. Upon completion, students should be able to demonstrate knowledge of development across the life span.</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Take PSY-150</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30"/>
        <w:gridCol w:w="5313"/>
        <w:gridCol w:w="2194"/>
      </w:tblGrid>
      <w:tr w:rsidR="00E70833" w:rsidRPr="00E70833" w:rsidTr="00E70833">
        <w:trPr>
          <w:tblCellSpacing w:w="15" w:type="dxa"/>
          <w:jc w:val="center"/>
        </w:trPr>
        <w:tc>
          <w:tcPr>
            <w:tcW w:w="965"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PSY-265</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Behavioral Modification</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PSY-265</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is an applied study of factors influencing human behavior and strategies for behavioral change. Emphasis is placed on cognitive-behavioral theory, behavioral assessment, practical applications of conditioning techniques, and maintenance of adaptive behavior patterns. Upon completion, students should be able to implement basic learning principles to effect behavioral changes in self and others.</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Take PSY-150</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24"/>
        <w:gridCol w:w="2237"/>
      </w:tblGrid>
      <w:tr w:rsidR="00E70833" w:rsidRPr="00E70833" w:rsidTr="001C6306">
        <w:trPr>
          <w:tblCellSpacing w:w="15" w:type="dxa"/>
          <w:jc w:val="center"/>
        </w:trPr>
        <w:tc>
          <w:tcPr>
            <w:tcW w:w="990" w:type="pct"/>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p w:rsidR="001C6306" w:rsidRPr="00E70833" w:rsidRDefault="001C6306" w:rsidP="00E70833">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N/A</w:t>
            </w:r>
          </w:p>
          <w:p w:rsidR="00E70833" w:rsidRDefault="00E70833" w:rsidP="00E70833">
            <w:pPr>
              <w:spacing w:after="0" w:line="240" w:lineRule="auto"/>
              <w:rPr>
                <w:rFonts w:ascii="Arial" w:eastAsia="Times New Roman" w:hAnsi="Arial" w:cs="Arial"/>
                <w:color w:val="000000"/>
                <w:sz w:val="23"/>
                <w:szCs w:val="23"/>
              </w:rPr>
            </w:pPr>
          </w:p>
          <w:p w:rsidR="00E70833" w:rsidRPr="00E70833" w:rsidRDefault="00E70833" w:rsidP="00E70833">
            <w:pPr>
              <w:spacing w:after="0" w:line="240" w:lineRule="auto"/>
              <w:rPr>
                <w:rFonts w:ascii="Arial" w:eastAsia="Times New Roman" w:hAnsi="Arial" w:cs="Arial"/>
                <w:color w:val="000000"/>
                <w:sz w:val="23"/>
                <w:szCs w:val="23"/>
              </w:rPr>
            </w:pPr>
          </w:p>
        </w:tc>
      </w:tr>
      <w:tr w:rsidR="001C6306" w:rsidRPr="001C6306" w:rsidTr="001C630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b/>
                <w:bCs/>
                <w:color w:val="000000"/>
                <w:sz w:val="23"/>
                <w:szCs w:val="23"/>
              </w:rPr>
            </w:pPr>
            <w:r w:rsidRPr="001C6306">
              <w:rPr>
                <w:rFonts w:ascii="Arial" w:eastAsia="Times New Roman" w:hAnsi="Arial" w:cs="Arial"/>
                <w:b/>
                <w:bCs/>
                <w:color w:val="000000"/>
                <w:sz w:val="23"/>
                <w:szCs w:val="23"/>
              </w:rPr>
              <w:t>PSY-281</w:t>
            </w:r>
          </w:p>
        </w:tc>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b/>
                <w:bCs/>
                <w:color w:val="000000"/>
                <w:sz w:val="23"/>
                <w:szCs w:val="23"/>
              </w:rPr>
            </w:pPr>
            <w:r w:rsidRPr="001C6306">
              <w:rPr>
                <w:rFonts w:ascii="Arial" w:eastAsia="Times New Roman" w:hAnsi="Arial" w:cs="Arial"/>
                <w:b/>
                <w:bCs/>
                <w:color w:val="000000"/>
                <w:sz w:val="23"/>
                <w:szCs w:val="23"/>
              </w:rPr>
              <w:t>Abnormal Psychology</w:t>
            </w:r>
          </w:p>
        </w:tc>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b/>
                <w:bCs/>
                <w:color w:val="000000"/>
                <w:sz w:val="23"/>
                <w:szCs w:val="23"/>
              </w:rPr>
            </w:pPr>
            <w:r w:rsidRPr="001C6306">
              <w:rPr>
                <w:rFonts w:ascii="Arial" w:eastAsia="Times New Roman" w:hAnsi="Arial" w:cs="Arial"/>
                <w:b/>
                <w:bCs/>
                <w:color w:val="000000"/>
                <w:sz w:val="23"/>
                <w:szCs w:val="23"/>
              </w:rPr>
              <w:t>PSY-281</w:t>
            </w: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C6306" w:rsidRPr="001C6306" w:rsidTr="001C6306">
        <w:trPr>
          <w:tblCellSpacing w:w="15" w:type="dxa"/>
        </w:trPr>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This course provides an examination of the various psychological disorders, as well as theoretical, clinical, and experimental perspectives of the study of psychopathology. Emphasis is placed on terminology, classification, etiology, assessment, and treatment of the major disorders. Upon completion, students should be able to distinguish between normal and abnormal behavior patterns as well as demonstrate knowledge of etiology, symptoms, and therapeutic techniques.</w:t>
            </w: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C6306" w:rsidRPr="001C6306" w:rsidTr="001C6306">
        <w:trPr>
          <w:tblCellSpacing w:w="15" w:type="dxa"/>
          <w:jc w:val="center"/>
        </w:trPr>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Times New Roman" w:eastAsia="Times New Roman" w:hAnsi="Times New Roman" w:cs="Times New Roman"/>
                <w:sz w:val="24"/>
                <w:szCs w:val="24"/>
              </w:rPr>
            </w:pP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C6306" w:rsidRPr="001C6306" w:rsidTr="001C6306">
        <w:trPr>
          <w:tblCellSpacing w:w="15" w:type="dxa"/>
          <w:jc w:val="center"/>
        </w:trPr>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Times New Roman" w:eastAsia="Times New Roman" w:hAnsi="Times New Roman" w:cs="Times New Roman"/>
                <w:sz w:val="24"/>
                <w:szCs w:val="24"/>
              </w:rPr>
            </w:pP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C6306" w:rsidRPr="001C6306" w:rsidTr="001C6306">
        <w:trPr>
          <w:tblCellSpacing w:w="15" w:type="dxa"/>
          <w:jc w:val="center"/>
        </w:trPr>
        <w:tc>
          <w:tcPr>
            <w:tcW w:w="1000" w:type="pct"/>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Take PSY-150</w:t>
            </w: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C6306" w:rsidRPr="001C6306" w:rsidTr="001C6306">
        <w:trPr>
          <w:tblCellSpacing w:w="15" w:type="dxa"/>
          <w:jc w:val="center"/>
        </w:trPr>
        <w:tc>
          <w:tcPr>
            <w:tcW w:w="1000" w:type="pct"/>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 xml:space="preserve">State </w:t>
            </w:r>
            <w:proofErr w:type="spellStart"/>
            <w:r w:rsidRPr="001C630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None</w:t>
            </w: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05"/>
        <w:gridCol w:w="2156"/>
      </w:tblGrid>
      <w:tr w:rsidR="001C6306" w:rsidRPr="001C6306" w:rsidTr="0064097C">
        <w:trPr>
          <w:tblCellSpacing w:w="15" w:type="dxa"/>
          <w:jc w:val="center"/>
        </w:trPr>
        <w:tc>
          <w:tcPr>
            <w:tcW w:w="990" w:type="pct"/>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This course has been approved for transfer under the CAA as a general education course in Social/Behavioral Sciences.</w:t>
            </w:r>
            <w:r w:rsidRPr="001C6306">
              <w:rPr>
                <w:rFonts w:ascii="Arial" w:eastAsia="Times New Roman" w:hAnsi="Arial" w:cs="Arial"/>
                <w:color w:val="000000"/>
                <w:sz w:val="23"/>
                <w:szCs w:val="23"/>
              </w:rPr>
              <w:br/>
              <w:t>This course has been approved for transfer under the ICAA as a general education course in Social/Behavioral Sciences.</w:t>
            </w:r>
          </w:p>
          <w:p w:rsidR="0064097C" w:rsidRPr="001C6306" w:rsidRDefault="0064097C" w:rsidP="001C6306">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SOC-210</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Introduction to Sociology</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SOC-210</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81"/>
        <w:gridCol w:w="2280"/>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has been approved for transfer under the CAA as a general education course in Social/Behavioral Sciences.</w:t>
            </w:r>
            <w:r w:rsidRPr="0064097C">
              <w:rPr>
                <w:rFonts w:ascii="Arial" w:eastAsia="Times New Roman" w:hAnsi="Arial" w:cs="Arial"/>
                <w:color w:val="000000"/>
                <w:sz w:val="23"/>
                <w:szCs w:val="23"/>
              </w:rPr>
              <w:br/>
              <w:t>This course has been approved for transfer under the ICAA as a general education course in Social/Behavioral Sciences.</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SOC-213</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Sociology of the Family</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SOC-213</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covers the institution of the family and other intimate relationships. Emphasis is placed on mate selection, gender roles, sexuality, communication, power and conflict, parenthood, diverse lifestyles, divorce and remarriage, and economic issues. Upon completion, students should be able to analyze the family as a social institution and the social forces which influence its development and change.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96"/>
        <w:gridCol w:w="2565"/>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has been approved for transfer under the CAA as a general education course in Social/Behavioral Sciences.</w:t>
            </w:r>
            <w:r w:rsidRPr="0064097C">
              <w:rPr>
                <w:rFonts w:ascii="Arial" w:eastAsia="Times New Roman" w:hAnsi="Arial" w:cs="Arial"/>
                <w:color w:val="000000"/>
                <w:sz w:val="23"/>
                <w:szCs w:val="23"/>
              </w:rPr>
              <w:br/>
              <w:t>This course has been approved for transfer under the ICAA as a general education course in Social/Behavioral Sciences.</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BIO-111</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General Biology I</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BIO-111</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introduces the principles and concepts of biology. Emphasis is placed on basic biological chemistry, cell structure and function, metabolism and energy transformation, genetics, evolution, classification, and other related topics. Upon completion, students should be able to demonstrate understanding of life at the molecular and cellular levels.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39"/>
        <w:gridCol w:w="2522"/>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has been approved for transfer under the CAA as a general education course in Natural Science.</w:t>
            </w:r>
            <w:r w:rsidRPr="0064097C">
              <w:rPr>
                <w:rFonts w:ascii="Arial" w:eastAsia="Times New Roman" w:hAnsi="Arial" w:cs="Arial"/>
                <w:color w:val="000000"/>
                <w:sz w:val="23"/>
                <w:szCs w:val="23"/>
              </w:rPr>
              <w:br/>
              <w:t>This course has been approved for transfer under the ICAA as a general education course in Natural Science.</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BIO-112</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General Biology II</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BIO-112</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is a continuation of BIO 111. Emphasis is placed on organisms, evolution, biodiversity, plant and animal systems, ecology, and other related topics. Upon completion, students should be able to demonstrate comprehension of life at the organismal and ecological levels.</w:t>
            </w:r>
          </w:p>
        </w:tc>
        <w:bookmarkStart w:id="0" w:name="_GoBack"/>
        <w:bookmarkEnd w:id="0"/>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Take BIO-111</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00"/>
        <w:gridCol w:w="2061"/>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has been approved for transfer under the CAA as a general education course in Natural Science.</w:t>
            </w:r>
            <w:r w:rsidRPr="0064097C">
              <w:rPr>
                <w:rFonts w:ascii="Arial" w:eastAsia="Times New Roman" w:hAnsi="Arial" w:cs="Arial"/>
                <w:color w:val="000000"/>
                <w:sz w:val="23"/>
                <w:szCs w:val="23"/>
              </w:rPr>
              <w:br/>
              <w:t>This course has been approved for transfer under the ICAA as a general education course in Natural Science.</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BIO-163</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 xml:space="preserve">Basic </w:t>
            </w:r>
            <w:proofErr w:type="spellStart"/>
            <w:r w:rsidRPr="0064097C">
              <w:rPr>
                <w:rFonts w:ascii="Arial" w:eastAsia="Times New Roman" w:hAnsi="Arial" w:cs="Arial"/>
                <w:b/>
                <w:bCs/>
                <w:color w:val="000000"/>
                <w:sz w:val="23"/>
                <w:szCs w:val="23"/>
              </w:rPr>
              <w:t>Anat</w:t>
            </w:r>
            <w:proofErr w:type="spellEnd"/>
            <w:r w:rsidRPr="0064097C">
              <w:rPr>
                <w:rFonts w:ascii="Arial" w:eastAsia="Times New Roman" w:hAnsi="Arial" w:cs="Arial"/>
                <w:b/>
                <w:bCs/>
                <w:color w:val="000000"/>
                <w:sz w:val="23"/>
                <w:szCs w:val="23"/>
              </w:rPr>
              <w:t xml:space="preserve"> &amp; Physiology</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BIO-163</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provides a basic study of the structure and function of the human body. Topics include a basic study of the body systems as well as an introduction to homeostasis, cells, tissues, nutrition, acid-base balance, and electrolytes. Upon completion, students should be able to demonstrate a basic understanding of the fundamental principles of anatomy and physiology and their interrelationships.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70"/>
        <w:gridCol w:w="1991"/>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This course has been approved for transfer under the 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r w:rsidRPr="0064097C">
              <w:rPr>
                <w:rFonts w:ascii="Arial" w:eastAsia="Times New Roman" w:hAnsi="Arial" w:cs="Arial"/>
                <w:color w:val="000000"/>
                <w:sz w:val="23"/>
                <w:szCs w:val="23"/>
              </w:rPr>
              <w:br/>
              <w:t xml:space="preserve">This course has been approved for transfer under the ICAA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BIO-168</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Anatomy and Physiology I</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BIO-168</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provides a comprehensive study of the anatomy and physiology of the human body. Topics include body organization, homeostasis, cytology, histology, and the integumentary, skeletal, muscular, and nervous systems and special senses. Upon completion, students should be able to demonstrate an in-depth understanding of principles of anatomy and physiology and their interrelationships.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95"/>
        <w:gridCol w:w="1966"/>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This course has been approved for transfer under the 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r w:rsidRPr="0064097C">
              <w:rPr>
                <w:rFonts w:ascii="Arial" w:eastAsia="Times New Roman" w:hAnsi="Arial" w:cs="Arial"/>
                <w:color w:val="000000"/>
                <w:sz w:val="23"/>
                <w:szCs w:val="23"/>
              </w:rPr>
              <w:br/>
              <w:t xml:space="preserve">This course has been approved for transfer under the ICAA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BIO-169</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Anatomy and Physiology II</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BIO-169</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provides a continuation of the comprehensive study of the anatomy and physiology of the human body. Topics include the endocrine, cardiovascular, lymphatic, respiratory, digestive, urinary, and reproductive systems as well as metabolism, nutrition, acid-base balance, and fluid and electrolyte balance. Upon completion, students should be able to demonstrate an in-depth understanding of principles of anatomy and physiology and their interrelationships.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Take BIO-168</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03"/>
        <w:gridCol w:w="2858"/>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This course has been approved for transfer under the 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r w:rsidRPr="0064097C">
              <w:rPr>
                <w:rFonts w:ascii="Arial" w:eastAsia="Times New Roman" w:hAnsi="Arial" w:cs="Arial"/>
                <w:color w:val="000000"/>
                <w:sz w:val="23"/>
                <w:szCs w:val="23"/>
              </w:rPr>
              <w:br/>
              <w:t xml:space="preserve">This course has been approved for transfer under the ICAA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BIO-275</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Microbiology</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BIO-275</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covers principles of microbiology and the impact these organisms have on man and the environment. Topics include the various groups of microorganisms, their structure, physiology, genetics, microbial pathogenicity, infectious diseases, immunology, and selected practical applications. Upon completion, students should be able to demonstrate knowledge and skills including microscopy, aseptic technique, staining, culture methods, and identification of microorganisms.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Take One: BIO 110, BIO 111, BIO 163, BIO 165, or BIO 168</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87"/>
        <w:gridCol w:w="2174"/>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This course has been approved for transfer under the 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r w:rsidRPr="0064097C">
              <w:rPr>
                <w:rFonts w:ascii="Arial" w:eastAsia="Times New Roman" w:hAnsi="Arial" w:cs="Arial"/>
                <w:color w:val="000000"/>
                <w:sz w:val="23"/>
                <w:szCs w:val="23"/>
              </w:rPr>
              <w:br/>
              <w:t xml:space="preserve">This course has been approved for transfer under the ICAA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w:t>
            </w:r>
            <w:r>
              <w:rPr>
                <w:rFonts w:ascii="Arial" w:eastAsia="Times New Roman" w:hAnsi="Arial" w:cs="Arial"/>
                <w:color w:val="000000"/>
                <w:sz w:val="23"/>
                <w:szCs w:val="23"/>
              </w:rPr>
              <w:t>t.</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CHM-131</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Introduction to Chemistry</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CHM-131</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introduces the fundamental concepts of inorganic chemistry. Topics include measurement, matter and energy, atomic and molecular structure, nuclear chemistry, stoichiometry, chemical formulas and reactions, chemical bonding, gas laws, solutions, and acids and bases. Upon completion, students should be able to demonstrate a basic understanding of chemistry as it applies to other fields.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02"/>
        <w:gridCol w:w="2559"/>
      </w:tblGrid>
      <w:tr w:rsidR="0064097C" w:rsidRPr="0064097C" w:rsidTr="005E6D5A">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has been approved for transfer under the CAA as a general education course in Natural Science.</w:t>
            </w:r>
            <w:r w:rsidRPr="0064097C">
              <w:rPr>
                <w:rFonts w:ascii="Arial" w:eastAsia="Times New Roman" w:hAnsi="Arial" w:cs="Arial"/>
                <w:color w:val="000000"/>
                <w:sz w:val="23"/>
                <w:szCs w:val="23"/>
              </w:rPr>
              <w:br/>
              <w:t>This course has been approved for transfer under the ICAA as a general education course in Natural Science.</w:t>
            </w:r>
          </w:p>
          <w:p w:rsidR="0064097C" w:rsidRPr="0064097C" w:rsidRDefault="0064097C" w:rsidP="0064097C">
            <w:pPr>
              <w:spacing w:after="0" w:line="240" w:lineRule="auto"/>
              <w:rPr>
                <w:rFonts w:ascii="Arial" w:eastAsia="Times New Roman" w:hAnsi="Arial" w:cs="Arial"/>
                <w:color w:val="000000"/>
                <w:sz w:val="23"/>
                <w:szCs w:val="23"/>
              </w:rPr>
            </w:pPr>
          </w:p>
        </w:tc>
      </w:tr>
      <w:tr w:rsidR="005E6D5A" w:rsidRPr="005E6D5A" w:rsidTr="005E6D5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b/>
                <w:bCs/>
                <w:color w:val="000000"/>
                <w:sz w:val="23"/>
                <w:szCs w:val="23"/>
              </w:rPr>
            </w:pPr>
            <w:r w:rsidRPr="005E6D5A">
              <w:rPr>
                <w:rFonts w:ascii="Arial" w:eastAsia="Times New Roman" w:hAnsi="Arial" w:cs="Arial"/>
                <w:b/>
                <w:bCs/>
                <w:color w:val="000000"/>
                <w:sz w:val="23"/>
                <w:szCs w:val="23"/>
              </w:rPr>
              <w:t>CHM-131A</w:t>
            </w:r>
          </w:p>
        </w:tc>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b/>
                <w:bCs/>
                <w:color w:val="000000"/>
                <w:sz w:val="23"/>
                <w:szCs w:val="23"/>
              </w:rPr>
            </w:pPr>
            <w:r w:rsidRPr="005E6D5A">
              <w:rPr>
                <w:rFonts w:ascii="Arial" w:eastAsia="Times New Roman" w:hAnsi="Arial" w:cs="Arial"/>
                <w:b/>
                <w:bCs/>
                <w:color w:val="000000"/>
                <w:sz w:val="23"/>
                <w:szCs w:val="23"/>
              </w:rPr>
              <w:t>Intro to Chemistry Lab</w:t>
            </w:r>
          </w:p>
        </w:tc>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b/>
                <w:bCs/>
                <w:color w:val="000000"/>
                <w:sz w:val="23"/>
                <w:szCs w:val="23"/>
              </w:rPr>
            </w:pPr>
            <w:r w:rsidRPr="005E6D5A">
              <w:rPr>
                <w:rFonts w:ascii="Arial" w:eastAsia="Times New Roman" w:hAnsi="Arial" w:cs="Arial"/>
                <w:b/>
                <w:bCs/>
                <w:color w:val="000000"/>
                <w:sz w:val="23"/>
                <w:szCs w:val="23"/>
              </w:rPr>
              <w:t>CHM-131A</w:t>
            </w: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E6D5A" w:rsidRPr="005E6D5A" w:rsidTr="005E6D5A">
        <w:trPr>
          <w:tblCellSpacing w:w="15" w:type="dxa"/>
        </w:trPr>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This course is a laboratory to accompany CHM 131. Emphasis is placed on laboratory experiences that enhance materials presented in CHM 131. Upon completion, students should be able to utilize basic laboratory procedures and apply them to chemical principles presented in CHM 131.</w:t>
            </w: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E6D5A" w:rsidRPr="005E6D5A" w:rsidTr="005E6D5A">
        <w:trPr>
          <w:tblCellSpacing w:w="15" w:type="dxa"/>
          <w:jc w:val="center"/>
        </w:trPr>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Times New Roman" w:eastAsia="Times New Roman" w:hAnsi="Times New Roman" w:cs="Times New Roman"/>
                <w:sz w:val="24"/>
                <w:szCs w:val="24"/>
              </w:rPr>
            </w:pP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E6D5A" w:rsidRPr="005E6D5A" w:rsidTr="005E6D5A">
        <w:trPr>
          <w:tblCellSpacing w:w="15" w:type="dxa"/>
          <w:jc w:val="center"/>
        </w:trPr>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Times New Roman" w:eastAsia="Times New Roman" w:hAnsi="Times New Roman" w:cs="Times New Roman"/>
                <w:sz w:val="24"/>
                <w:szCs w:val="24"/>
              </w:rPr>
            </w:pP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E6D5A" w:rsidRPr="005E6D5A" w:rsidTr="005E6D5A">
        <w:trPr>
          <w:tblCellSpacing w:w="15" w:type="dxa"/>
          <w:jc w:val="center"/>
        </w:trPr>
        <w:tc>
          <w:tcPr>
            <w:tcW w:w="1000" w:type="pct"/>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None</w:t>
            </w: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E6D5A" w:rsidRPr="005E6D5A" w:rsidTr="005E6D5A">
        <w:trPr>
          <w:tblCellSpacing w:w="15" w:type="dxa"/>
          <w:jc w:val="center"/>
        </w:trPr>
        <w:tc>
          <w:tcPr>
            <w:tcW w:w="1000" w:type="pct"/>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 xml:space="preserve">State </w:t>
            </w:r>
            <w:proofErr w:type="spellStart"/>
            <w:r w:rsidRPr="005E6D5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Take CHM-131</w:t>
            </w: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22"/>
        <w:gridCol w:w="2139"/>
      </w:tblGrid>
      <w:tr w:rsidR="005E6D5A" w:rsidRPr="005E6D5A" w:rsidTr="00785558">
        <w:trPr>
          <w:tblCellSpacing w:w="15" w:type="dxa"/>
          <w:jc w:val="center"/>
        </w:trPr>
        <w:tc>
          <w:tcPr>
            <w:tcW w:w="990" w:type="pct"/>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5E6D5A" w:rsidRDefault="005E6D5A" w:rsidP="00785558">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This course has been approved for transfer under the CAA as a general education course in Natural Science.</w:t>
            </w:r>
            <w:r w:rsidRPr="005E6D5A">
              <w:rPr>
                <w:rFonts w:ascii="Arial" w:eastAsia="Times New Roman" w:hAnsi="Arial" w:cs="Arial"/>
                <w:color w:val="000000"/>
                <w:sz w:val="23"/>
                <w:szCs w:val="23"/>
              </w:rPr>
              <w:br/>
              <w:t>This course has been approved for transfer under the ICAA as a general education course in Natural Science.</w:t>
            </w:r>
          </w:p>
          <w:p w:rsidR="00785558" w:rsidRPr="005E6D5A" w:rsidRDefault="00785558" w:rsidP="00785558">
            <w:pPr>
              <w:spacing w:after="0" w:line="240" w:lineRule="auto"/>
              <w:rPr>
                <w:rFonts w:ascii="Arial" w:eastAsia="Times New Roman" w:hAnsi="Arial" w:cs="Arial"/>
                <w:color w:val="000000"/>
                <w:sz w:val="23"/>
                <w:szCs w:val="23"/>
              </w:rPr>
            </w:pPr>
          </w:p>
        </w:tc>
      </w:tr>
      <w:tr w:rsidR="00785558" w:rsidRPr="00785558" w:rsidTr="0078555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CHM-132</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Organic and Biochemistry</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CHM-132</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provides a survey of major functional classes of compounds in organic and biochemistry. Topics include structure, properties, and reactions of the major organic and biological molecules and basic principles of metabolism. Upon completion, students should be able to demonstrate an understanding of fundamental chemical concepts needed to pursue studies in related professional fields.</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Take one set:</w:t>
            </w:r>
            <w:r w:rsidRPr="00785558">
              <w:rPr>
                <w:rFonts w:ascii="Arial" w:eastAsia="Times New Roman" w:hAnsi="Arial" w:cs="Arial"/>
                <w:color w:val="000000"/>
                <w:sz w:val="23"/>
                <w:szCs w:val="23"/>
              </w:rPr>
              <w:br/>
              <w:t>Set 1: CHM-131 and CHM-131A</w:t>
            </w:r>
            <w:r w:rsidRPr="00785558">
              <w:rPr>
                <w:rFonts w:ascii="Arial" w:eastAsia="Times New Roman" w:hAnsi="Arial" w:cs="Arial"/>
                <w:color w:val="000000"/>
                <w:sz w:val="23"/>
                <w:szCs w:val="23"/>
              </w:rPr>
              <w:br/>
              <w:t>Set 2: CHM-151</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 xml:space="preserve">State </w:t>
            </w:r>
            <w:proofErr w:type="spellStart"/>
            <w:r w:rsidRPr="0078555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None</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33"/>
        <w:gridCol w:w="2528"/>
      </w:tblGrid>
      <w:tr w:rsidR="00785558" w:rsidRPr="00785558" w:rsidTr="00785558">
        <w:trPr>
          <w:tblCellSpacing w:w="15" w:type="dxa"/>
          <w:jc w:val="center"/>
        </w:trPr>
        <w:tc>
          <w:tcPr>
            <w:tcW w:w="99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has been approved for transfer under the CAA as a general education course in Natural Science.</w:t>
            </w:r>
            <w:r w:rsidRPr="00785558">
              <w:rPr>
                <w:rFonts w:ascii="Arial" w:eastAsia="Times New Roman" w:hAnsi="Arial" w:cs="Arial"/>
                <w:color w:val="000000"/>
                <w:sz w:val="23"/>
                <w:szCs w:val="23"/>
              </w:rPr>
              <w:br/>
              <w:t>This course has been approved for transfer under the ICAA as a general education course in Natural Science.</w:t>
            </w:r>
          </w:p>
          <w:p w:rsidR="00785558" w:rsidRPr="00785558" w:rsidRDefault="00785558" w:rsidP="00785558">
            <w:pPr>
              <w:spacing w:after="0" w:line="240" w:lineRule="auto"/>
              <w:rPr>
                <w:rFonts w:ascii="Arial" w:eastAsia="Times New Roman" w:hAnsi="Arial" w:cs="Arial"/>
                <w:color w:val="000000"/>
                <w:sz w:val="23"/>
                <w:szCs w:val="23"/>
              </w:rPr>
            </w:pPr>
          </w:p>
        </w:tc>
      </w:tr>
      <w:tr w:rsidR="00785558" w:rsidRPr="00785558" w:rsidTr="0078555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CHM-151</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General Chemistry I</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CHM-151</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covers fundamental principles and laws of chemistry. Topics include measurement, atomic and molecular structure, periodicity, chemical reactions, chemical bonding, stoichiometry, thermochemistry, gas laws, and solutions. Upon completion, students should be able to demonstrate an understanding of fundamental chemical laws and concepts as needed in CHM 152.</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None</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 xml:space="preserve">State </w:t>
            </w:r>
            <w:proofErr w:type="spellStart"/>
            <w:r w:rsidRPr="0078555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None</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70"/>
        <w:gridCol w:w="2491"/>
      </w:tblGrid>
      <w:tr w:rsidR="00785558" w:rsidRPr="00785558" w:rsidTr="00785558">
        <w:trPr>
          <w:tblCellSpacing w:w="15" w:type="dxa"/>
          <w:jc w:val="center"/>
        </w:trPr>
        <w:tc>
          <w:tcPr>
            <w:tcW w:w="99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has been approved for transfer under the CAA as a general education course in Natural Science.</w:t>
            </w:r>
            <w:r w:rsidRPr="00785558">
              <w:rPr>
                <w:rFonts w:ascii="Arial" w:eastAsia="Times New Roman" w:hAnsi="Arial" w:cs="Arial"/>
                <w:color w:val="000000"/>
                <w:sz w:val="23"/>
                <w:szCs w:val="23"/>
              </w:rPr>
              <w:br/>
              <w:t>This course has been approved for transfer under the ICAA as a general education course in Natural Science.</w:t>
            </w:r>
          </w:p>
          <w:p w:rsidR="00785558" w:rsidRPr="00785558" w:rsidRDefault="00785558" w:rsidP="00785558">
            <w:pPr>
              <w:spacing w:after="0" w:line="240" w:lineRule="auto"/>
              <w:rPr>
                <w:rFonts w:ascii="Arial" w:eastAsia="Times New Roman" w:hAnsi="Arial" w:cs="Arial"/>
                <w:color w:val="000000"/>
                <w:sz w:val="23"/>
                <w:szCs w:val="23"/>
              </w:rPr>
            </w:pPr>
          </w:p>
        </w:tc>
      </w:tr>
      <w:tr w:rsidR="00785558" w:rsidRPr="00785558" w:rsidTr="0078555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CHM-152</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General Chemistry II</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CHM-152</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provides a continuation of the study of the fundamental principles and laws of chemistry. Topics include kinetics, equilibrium, ionic and redox equations, acid-base theory, electrochemistry, thermodynamics, introduction to nuclear and organic chemistry, and complex ions. Upon completion, students should be able to demonstrate an understanding of chemical concepts as needed to pursue further study in chemistry and related professional fields.</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Take CHM-151</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 xml:space="preserve">State </w:t>
            </w:r>
            <w:proofErr w:type="spellStart"/>
            <w:r w:rsidRPr="0078555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None</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35"/>
        <w:gridCol w:w="2426"/>
      </w:tblGrid>
      <w:tr w:rsidR="00785558" w:rsidRPr="00785558" w:rsidTr="00785558">
        <w:trPr>
          <w:tblCellSpacing w:w="15" w:type="dxa"/>
          <w:jc w:val="center"/>
        </w:trPr>
        <w:tc>
          <w:tcPr>
            <w:tcW w:w="99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has been approved for transfer under the CAA as a general education course in Natural Science.</w:t>
            </w:r>
            <w:r w:rsidRPr="00785558">
              <w:rPr>
                <w:rFonts w:ascii="Arial" w:eastAsia="Times New Roman" w:hAnsi="Arial" w:cs="Arial"/>
                <w:color w:val="000000"/>
                <w:sz w:val="23"/>
                <w:szCs w:val="23"/>
              </w:rPr>
              <w:br/>
              <w:t>This course has been approved for transfer under the ICAA as a general education course in Natural Science.</w:t>
            </w:r>
          </w:p>
          <w:p w:rsidR="00785558" w:rsidRPr="00785558" w:rsidRDefault="00785558" w:rsidP="00785558">
            <w:pPr>
              <w:spacing w:after="0" w:line="240" w:lineRule="auto"/>
              <w:rPr>
                <w:rFonts w:ascii="Arial" w:eastAsia="Times New Roman" w:hAnsi="Arial" w:cs="Arial"/>
                <w:color w:val="000000"/>
                <w:sz w:val="23"/>
                <w:szCs w:val="23"/>
              </w:rPr>
            </w:pPr>
          </w:p>
        </w:tc>
      </w:tr>
      <w:tr w:rsidR="00785558" w:rsidRPr="00785558" w:rsidTr="0078555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PHY-110</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Conceptual Physics</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PHY-110</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provides a conceptually-based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None</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 xml:space="preserve">State </w:t>
            </w:r>
            <w:proofErr w:type="spellStart"/>
            <w:r w:rsidRPr="0078555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None</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11"/>
        <w:gridCol w:w="1950"/>
      </w:tblGrid>
      <w:tr w:rsidR="00785558" w:rsidRPr="00785558" w:rsidTr="00032FC9">
        <w:trPr>
          <w:tblCellSpacing w:w="15" w:type="dxa"/>
          <w:jc w:val="center"/>
        </w:trPr>
        <w:tc>
          <w:tcPr>
            <w:tcW w:w="99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has been approved for transfer under the CAA as a general education course in Natural Science.</w:t>
            </w:r>
            <w:r w:rsidRPr="00785558">
              <w:rPr>
                <w:rFonts w:ascii="Arial" w:eastAsia="Times New Roman" w:hAnsi="Arial" w:cs="Arial"/>
                <w:color w:val="000000"/>
                <w:sz w:val="23"/>
                <w:szCs w:val="23"/>
              </w:rPr>
              <w:br/>
              <w:t>This course has been approved for transfer under the ICAA as a general education course in Natural Science.</w:t>
            </w:r>
          </w:p>
          <w:p w:rsidR="00032FC9" w:rsidRPr="00785558" w:rsidRDefault="00032FC9" w:rsidP="00785558">
            <w:pPr>
              <w:spacing w:after="0" w:line="240" w:lineRule="auto"/>
              <w:rPr>
                <w:rFonts w:ascii="Arial" w:eastAsia="Times New Roman" w:hAnsi="Arial" w:cs="Arial"/>
                <w:color w:val="000000"/>
                <w:sz w:val="23"/>
                <w:szCs w:val="23"/>
              </w:rPr>
            </w:pPr>
          </w:p>
        </w:tc>
      </w:tr>
      <w:tr w:rsidR="00032FC9" w:rsidRPr="00032FC9" w:rsidTr="00032FC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b/>
                <w:bCs/>
                <w:color w:val="000000"/>
                <w:sz w:val="23"/>
                <w:szCs w:val="23"/>
              </w:rPr>
            </w:pPr>
            <w:r w:rsidRPr="00032FC9">
              <w:rPr>
                <w:rFonts w:ascii="Arial" w:eastAsia="Times New Roman" w:hAnsi="Arial" w:cs="Arial"/>
                <w:b/>
                <w:bCs/>
                <w:color w:val="000000"/>
                <w:sz w:val="23"/>
                <w:szCs w:val="23"/>
              </w:rPr>
              <w:t>MAT-110</w:t>
            </w:r>
          </w:p>
        </w:tc>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b/>
                <w:bCs/>
                <w:color w:val="000000"/>
                <w:sz w:val="23"/>
                <w:szCs w:val="23"/>
              </w:rPr>
            </w:pPr>
            <w:r w:rsidRPr="00032FC9">
              <w:rPr>
                <w:rFonts w:ascii="Arial" w:eastAsia="Times New Roman" w:hAnsi="Arial" w:cs="Arial"/>
                <w:b/>
                <w:bCs/>
                <w:color w:val="000000"/>
                <w:sz w:val="23"/>
                <w:szCs w:val="23"/>
              </w:rPr>
              <w:t>Math Measurement &amp; Literacy</w:t>
            </w:r>
          </w:p>
        </w:tc>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b/>
                <w:bCs/>
                <w:color w:val="000000"/>
                <w:sz w:val="23"/>
                <w:szCs w:val="23"/>
              </w:rPr>
            </w:pPr>
            <w:r w:rsidRPr="00032FC9">
              <w:rPr>
                <w:rFonts w:ascii="Arial" w:eastAsia="Times New Roman" w:hAnsi="Arial" w:cs="Arial"/>
                <w:b/>
                <w:bCs/>
                <w:color w:val="000000"/>
                <w:sz w:val="23"/>
                <w:szCs w:val="23"/>
              </w:rPr>
              <w:t>MAT-110</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trPr>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This course provides an activity-based approach that develops measurement skills and mathematical literacy using technology to solve problems for non-math intensive programs. Topics include unit conversions and estimation within a variety of measurement systems; ratio and proportion; basic geometric concepts; financial literacy; and statistics including measures of central tendency, dispersion, and charting of data. Upon completion, students should be able to demonstrate the use of mathematics and technology to solve practical problems, and to analyze and communicate results.</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jc w:val="center"/>
        </w:trPr>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Times New Roman" w:eastAsia="Times New Roman" w:hAnsi="Times New Roman" w:cs="Times New Roman"/>
                <w:sz w:val="24"/>
                <w:szCs w:val="24"/>
              </w:rPr>
            </w:pP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jc w:val="center"/>
        </w:trPr>
        <w:tc>
          <w:tcPr>
            <w:tcW w:w="1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Competencies</w:t>
            </w:r>
          </w:p>
        </w:tc>
      </w:tr>
      <w:tr w:rsidR="00032FC9" w:rsidRPr="00032FC9" w:rsidTr="00032FC9">
        <w:trPr>
          <w:tblCellSpacing w:w="15" w:type="dxa"/>
          <w:jc w:val="center"/>
        </w:trPr>
        <w:tc>
          <w:tcPr>
            <w:tcW w:w="4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·Student Learning Outcomes</w:t>
            </w:r>
            <w:r w:rsidRPr="00032FC9">
              <w:rPr>
                <w:rFonts w:ascii="Arial" w:eastAsia="Times New Roman" w:hAnsi="Arial" w:cs="Arial"/>
                <w:color w:val="000000"/>
                <w:sz w:val="23"/>
                <w:szCs w:val="23"/>
              </w:rPr>
              <w:br/>
              <w:t>1. Demonstrate estimation skills and justify results.</w:t>
            </w:r>
            <w:r w:rsidRPr="00032FC9">
              <w:rPr>
                <w:rFonts w:ascii="Arial" w:eastAsia="Times New Roman" w:hAnsi="Arial" w:cs="Arial"/>
                <w:color w:val="000000"/>
                <w:sz w:val="23"/>
                <w:szCs w:val="23"/>
              </w:rPr>
              <w:br/>
              <w:t>2. Use dimensional analysis to convert units of measurement.</w:t>
            </w:r>
            <w:r w:rsidRPr="00032FC9">
              <w:rPr>
                <w:rFonts w:ascii="Arial" w:eastAsia="Times New Roman" w:hAnsi="Arial" w:cs="Arial"/>
                <w:color w:val="000000"/>
                <w:sz w:val="23"/>
                <w:szCs w:val="23"/>
              </w:rPr>
              <w:br/>
              <w:t>3. Employ fractions, percentages and proportions to solve contextual problems.</w:t>
            </w:r>
            <w:r w:rsidRPr="00032FC9">
              <w:rPr>
                <w:rFonts w:ascii="Arial" w:eastAsia="Times New Roman" w:hAnsi="Arial" w:cs="Arial"/>
                <w:color w:val="000000"/>
                <w:sz w:val="23"/>
                <w:szCs w:val="23"/>
              </w:rPr>
              <w:br/>
              <w:t>4. Compute geometric measurements of perimeter, area, volume and angles.</w:t>
            </w:r>
            <w:r w:rsidRPr="00032FC9">
              <w:rPr>
                <w:rFonts w:ascii="Arial" w:eastAsia="Times New Roman" w:hAnsi="Arial" w:cs="Arial"/>
                <w:color w:val="000000"/>
                <w:sz w:val="23"/>
                <w:szCs w:val="23"/>
              </w:rPr>
              <w:br/>
              <w:t>5. Use technology to analyze and interpret elements of personal finance.</w:t>
            </w:r>
            <w:r w:rsidRPr="00032FC9">
              <w:rPr>
                <w:rFonts w:ascii="Arial" w:eastAsia="Times New Roman" w:hAnsi="Arial" w:cs="Arial"/>
                <w:color w:val="000000"/>
                <w:sz w:val="23"/>
                <w:szCs w:val="23"/>
              </w:rPr>
              <w:br/>
              <w:t>6. Compare and contrast measures of center and measures of dispersion.</w:t>
            </w:r>
            <w:r w:rsidRPr="00032FC9">
              <w:rPr>
                <w:rFonts w:ascii="Arial" w:eastAsia="Times New Roman" w:hAnsi="Arial" w:cs="Arial"/>
                <w:color w:val="000000"/>
                <w:sz w:val="23"/>
                <w:szCs w:val="23"/>
              </w:rPr>
              <w:br/>
              <w:t>7. Interpret tables, charts, and graphs and communicate results.</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jc w:val="center"/>
        </w:trPr>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Times New Roman" w:eastAsia="Times New Roman" w:hAnsi="Times New Roman" w:cs="Times New Roman"/>
                <w:sz w:val="24"/>
                <w:szCs w:val="24"/>
              </w:rPr>
            </w:pP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32FC9" w:rsidRPr="00032FC9" w:rsidTr="00032FC9">
        <w:trPr>
          <w:tblCellSpacing w:w="15" w:type="dxa"/>
          <w:jc w:val="center"/>
        </w:trPr>
        <w:tc>
          <w:tcPr>
            <w:tcW w:w="1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Take One Set:</w:t>
            </w:r>
            <w:r w:rsidRPr="00032FC9">
              <w:rPr>
                <w:rFonts w:ascii="Arial" w:eastAsia="Times New Roman" w:hAnsi="Arial" w:cs="Arial"/>
                <w:color w:val="000000"/>
                <w:sz w:val="23"/>
                <w:szCs w:val="23"/>
              </w:rPr>
              <w:br/>
              <w:t>Set 1: DMA-010, DMA-020, and DMA-030</w:t>
            </w:r>
            <w:r w:rsidRPr="00032FC9">
              <w:rPr>
                <w:rFonts w:ascii="Arial" w:eastAsia="Times New Roman" w:hAnsi="Arial" w:cs="Arial"/>
                <w:color w:val="000000"/>
                <w:sz w:val="23"/>
                <w:szCs w:val="23"/>
              </w:rPr>
              <w:br/>
              <w:t>Set 2: DMA-025</w:t>
            </w:r>
            <w:r w:rsidRPr="00032FC9">
              <w:rPr>
                <w:rFonts w:ascii="Arial" w:eastAsia="Times New Roman" w:hAnsi="Arial" w:cs="Arial"/>
                <w:color w:val="000000"/>
                <w:sz w:val="23"/>
                <w:szCs w:val="23"/>
              </w:rPr>
              <w:br/>
              <w:t>Set 3: MAT-003</w:t>
            </w:r>
            <w:r w:rsidRPr="00032FC9">
              <w:rPr>
                <w:rFonts w:ascii="Arial" w:eastAsia="Times New Roman" w:hAnsi="Arial" w:cs="Arial"/>
                <w:color w:val="000000"/>
                <w:sz w:val="23"/>
                <w:szCs w:val="23"/>
              </w:rPr>
              <w:br/>
              <w:t>Set 4: BSP-4003</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32FC9" w:rsidRPr="00032FC9" w:rsidTr="00032FC9">
        <w:trPr>
          <w:tblCellSpacing w:w="15" w:type="dxa"/>
          <w:jc w:val="center"/>
        </w:trPr>
        <w:tc>
          <w:tcPr>
            <w:tcW w:w="1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 xml:space="preserve">State </w:t>
            </w:r>
            <w:proofErr w:type="spellStart"/>
            <w:r w:rsidRPr="00032FC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Take MAT-010</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6"/>
        <w:gridCol w:w="2385"/>
      </w:tblGrid>
      <w:tr w:rsidR="00032FC9" w:rsidRPr="00032FC9" w:rsidTr="00032FC9">
        <w:trPr>
          <w:tblCellSpacing w:w="15" w:type="dxa"/>
          <w:jc w:val="center"/>
        </w:trPr>
        <w:tc>
          <w:tcPr>
            <w:tcW w:w="990" w:type="pct"/>
            <w:shd w:val="clear" w:color="auto" w:fill="FFFFFF"/>
            <w:tcMar>
              <w:top w:w="30" w:type="dxa"/>
              <w:left w:w="90" w:type="dxa"/>
              <w:bottom w:w="30" w:type="dxa"/>
              <w:right w:w="90" w:type="dxa"/>
            </w:tcMar>
            <w:hideMark/>
          </w:tcPr>
          <w:p w:rsid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College Transfer</w:t>
            </w:r>
          </w:p>
          <w:p w:rsidR="00032FC9" w:rsidRPr="00032FC9" w:rsidRDefault="00032FC9" w:rsidP="00032FC9">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N/A</w:t>
            </w:r>
          </w:p>
          <w:p w:rsidR="00032FC9" w:rsidRDefault="00032FC9" w:rsidP="00032FC9">
            <w:pPr>
              <w:spacing w:after="0" w:line="240" w:lineRule="auto"/>
              <w:rPr>
                <w:rFonts w:ascii="Arial" w:eastAsia="Times New Roman" w:hAnsi="Arial" w:cs="Arial"/>
                <w:color w:val="000000"/>
                <w:sz w:val="23"/>
                <w:szCs w:val="23"/>
              </w:rPr>
            </w:pPr>
          </w:p>
          <w:p w:rsidR="00032FC9" w:rsidRPr="00032FC9" w:rsidRDefault="00032FC9" w:rsidP="00032FC9">
            <w:pPr>
              <w:spacing w:after="0" w:line="240" w:lineRule="auto"/>
              <w:rPr>
                <w:rFonts w:ascii="Arial" w:eastAsia="Times New Roman" w:hAnsi="Arial" w:cs="Arial"/>
                <w:color w:val="000000"/>
                <w:sz w:val="23"/>
                <w:szCs w:val="23"/>
              </w:rPr>
            </w:pPr>
          </w:p>
        </w:tc>
      </w:tr>
      <w:tr w:rsidR="00032FC9" w:rsidRPr="00032FC9" w:rsidTr="00032FC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b/>
                <w:bCs/>
                <w:color w:val="000000"/>
                <w:sz w:val="23"/>
                <w:szCs w:val="23"/>
              </w:rPr>
            </w:pPr>
            <w:r w:rsidRPr="00032FC9">
              <w:rPr>
                <w:rFonts w:ascii="Arial" w:eastAsia="Times New Roman" w:hAnsi="Arial" w:cs="Arial"/>
                <w:b/>
                <w:bCs/>
                <w:color w:val="000000"/>
                <w:sz w:val="23"/>
                <w:szCs w:val="23"/>
              </w:rPr>
              <w:t>MAT-143</w:t>
            </w:r>
          </w:p>
        </w:tc>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b/>
                <w:bCs/>
                <w:color w:val="000000"/>
                <w:sz w:val="23"/>
                <w:szCs w:val="23"/>
              </w:rPr>
            </w:pPr>
            <w:r w:rsidRPr="00032FC9">
              <w:rPr>
                <w:rFonts w:ascii="Arial" w:eastAsia="Times New Roman" w:hAnsi="Arial" w:cs="Arial"/>
                <w:b/>
                <w:bCs/>
                <w:color w:val="000000"/>
                <w:sz w:val="23"/>
                <w:szCs w:val="23"/>
              </w:rPr>
              <w:t>Quantitative Literacy</w:t>
            </w:r>
          </w:p>
        </w:tc>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b/>
                <w:bCs/>
                <w:color w:val="000000"/>
                <w:sz w:val="23"/>
                <w:szCs w:val="23"/>
              </w:rPr>
            </w:pPr>
            <w:r w:rsidRPr="00032FC9">
              <w:rPr>
                <w:rFonts w:ascii="Arial" w:eastAsia="Times New Roman" w:hAnsi="Arial" w:cs="Arial"/>
                <w:b/>
                <w:bCs/>
                <w:color w:val="000000"/>
                <w:sz w:val="23"/>
                <w:szCs w:val="23"/>
              </w:rPr>
              <w:t>MAT-143</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trPr>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jc w:val="center"/>
        </w:trPr>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Times New Roman" w:eastAsia="Times New Roman" w:hAnsi="Times New Roman" w:cs="Times New Roman"/>
                <w:sz w:val="24"/>
                <w:szCs w:val="24"/>
              </w:rPr>
            </w:pP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jc w:val="center"/>
        </w:trPr>
        <w:tc>
          <w:tcPr>
            <w:tcW w:w="1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Competencies</w:t>
            </w:r>
          </w:p>
        </w:tc>
      </w:tr>
      <w:tr w:rsidR="00032FC9" w:rsidRPr="00032FC9" w:rsidTr="00032FC9">
        <w:trPr>
          <w:tblCellSpacing w:w="15" w:type="dxa"/>
          <w:jc w:val="center"/>
        </w:trPr>
        <w:tc>
          <w:tcPr>
            <w:tcW w:w="4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·Student Learning Outcomes</w:t>
            </w:r>
            <w:r w:rsidRPr="00032FC9">
              <w:rPr>
                <w:rFonts w:ascii="Arial" w:eastAsia="Times New Roman" w:hAnsi="Arial" w:cs="Arial"/>
                <w:color w:val="000000"/>
                <w:sz w:val="23"/>
                <w:szCs w:val="23"/>
              </w:rPr>
              <w:br/>
              <w:t>1. Judge the reasonableness of results using estimation, logical processes, and a proper understanding of quantity</w:t>
            </w:r>
            <w:r w:rsidRPr="00032FC9">
              <w:rPr>
                <w:rFonts w:ascii="Arial" w:eastAsia="Times New Roman" w:hAnsi="Arial" w:cs="Arial"/>
                <w:color w:val="000000"/>
                <w:sz w:val="23"/>
                <w:szCs w:val="23"/>
              </w:rPr>
              <w:br/>
              <w:t>2. Utilize proportional reasoning to solve contextual problems and make conversions involving various units of measurement</w:t>
            </w:r>
            <w:r w:rsidRPr="00032FC9">
              <w:rPr>
                <w:rFonts w:ascii="Arial" w:eastAsia="Times New Roman" w:hAnsi="Arial" w:cs="Arial"/>
                <w:color w:val="000000"/>
                <w:sz w:val="23"/>
                <w:szCs w:val="23"/>
              </w:rPr>
              <w:br/>
              <w:t>3. Identify, interpret, and compare linear and exponential rates of growth to make predictions and informed decisions based on data and graphs</w:t>
            </w:r>
            <w:r w:rsidRPr="00032FC9">
              <w:rPr>
                <w:rFonts w:ascii="Arial" w:eastAsia="Times New Roman" w:hAnsi="Arial" w:cs="Arial"/>
                <w:color w:val="000000"/>
                <w:sz w:val="23"/>
                <w:szCs w:val="23"/>
              </w:rPr>
              <w:br/>
              <w:t>4. Differentiate between simple and compound interest and analyze the long-term effects of saving, investing, and borrowing</w:t>
            </w:r>
            <w:r w:rsidRPr="00032FC9">
              <w:rPr>
                <w:rFonts w:ascii="Arial" w:eastAsia="Times New Roman" w:hAnsi="Arial" w:cs="Arial"/>
                <w:color w:val="000000"/>
                <w:sz w:val="23"/>
                <w:szCs w:val="23"/>
              </w:rPr>
              <w:br/>
              <w:t>5. Describe, analyze, and interpret statistical information such as graphs, tables, and summarized data to draw appropriate conclusions when presented with actual statistical studies</w:t>
            </w:r>
            <w:r w:rsidRPr="00032FC9">
              <w:rPr>
                <w:rFonts w:ascii="Arial" w:eastAsia="Times New Roman" w:hAnsi="Arial" w:cs="Arial"/>
                <w:color w:val="000000"/>
                <w:sz w:val="23"/>
                <w:szCs w:val="23"/>
              </w:rPr>
              <w:br/>
              <w:t>6. Determine probabilities and expected values and use them to assess risk and make informed decisions</w:t>
            </w:r>
            <w:r w:rsidRPr="00032FC9">
              <w:rPr>
                <w:rFonts w:ascii="Arial" w:eastAsia="Times New Roman" w:hAnsi="Arial" w:cs="Arial"/>
                <w:color w:val="000000"/>
                <w:sz w:val="23"/>
                <w:szCs w:val="23"/>
              </w:rPr>
              <w:br/>
              <w:t>7. Analyze civic and/or societal issues and critique decisions using relevant mathematics</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jc w:val="center"/>
        </w:trPr>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Times New Roman" w:eastAsia="Times New Roman" w:hAnsi="Times New Roman" w:cs="Times New Roman"/>
                <w:sz w:val="24"/>
                <w:szCs w:val="24"/>
              </w:rPr>
            </w:pP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32FC9" w:rsidRPr="00032FC9" w:rsidTr="00032FC9">
        <w:trPr>
          <w:tblCellSpacing w:w="15" w:type="dxa"/>
          <w:jc w:val="center"/>
        </w:trPr>
        <w:tc>
          <w:tcPr>
            <w:tcW w:w="1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Take One Set:</w:t>
            </w:r>
            <w:r w:rsidRPr="00032FC9">
              <w:rPr>
                <w:rFonts w:ascii="Arial" w:eastAsia="Times New Roman" w:hAnsi="Arial" w:cs="Arial"/>
                <w:color w:val="000000"/>
                <w:sz w:val="23"/>
                <w:szCs w:val="23"/>
              </w:rPr>
              <w:br/>
              <w:t>Set 1: DMA-010, DMA-020, DMA-030, and DRE-098</w:t>
            </w:r>
            <w:r w:rsidRPr="00032FC9">
              <w:rPr>
                <w:rFonts w:ascii="Arial" w:eastAsia="Times New Roman" w:hAnsi="Arial" w:cs="Arial"/>
                <w:color w:val="000000"/>
                <w:sz w:val="23"/>
                <w:szCs w:val="23"/>
              </w:rPr>
              <w:br/>
              <w:t>Set 2: DMA-010, DMA-020, DMA-030, and ENG-002</w:t>
            </w:r>
            <w:r w:rsidRPr="00032FC9">
              <w:rPr>
                <w:rFonts w:ascii="Arial" w:eastAsia="Times New Roman" w:hAnsi="Arial" w:cs="Arial"/>
                <w:color w:val="000000"/>
                <w:sz w:val="23"/>
                <w:szCs w:val="23"/>
              </w:rPr>
              <w:br/>
              <w:t>Set 3: DMA-010, DMA-020, DMA-030, and BSP-4002</w:t>
            </w:r>
            <w:r w:rsidRPr="00032FC9">
              <w:rPr>
                <w:rFonts w:ascii="Arial" w:eastAsia="Times New Roman" w:hAnsi="Arial" w:cs="Arial"/>
                <w:color w:val="000000"/>
                <w:sz w:val="23"/>
                <w:szCs w:val="23"/>
              </w:rPr>
              <w:br/>
              <w:t>Set 4: DMA-025, and DRE-098</w:t>
            </w:r>
            <w:r w:rsidRPr="00032FC9">
              <w:rPr>
                <w:rFonts w:ascii="Arial" w:eastAsia="Times New Roman" w:hAnsi="Arial" w:cs="Arial"/>
                <w:color w:val="000000"/>
                <w:sz w:val="23"/>
                <w:szCs w:val="23"/>
              </w:rPr>
              <w:br/>
              <w:t>Set 5: DMA-025, and ENG-002</w:t>
            </w:r>
            <w:r w:rsidRPr="00032FC9">
              <w:rPr>
                <w:rFonts w:ascii="Arial" w:eastAsia="Times New Roman" w:hAnsi="Arial" w:cs="Arial"/>
                <w:color w:val="000000"/>
                <w:sz w:val="23"/>
                <w:szCs w:val="23"/>
              </w:rPr>
              <w:br/>
              <w:t>Set 6: DMA-025, and BSP-4002</w:t>
            </w:r>
            <w:r w:rsidRPr="00032FC9">
              <w:rPr>
                <w:rFonts w:ascii="Arial" w:eastAsia="Times New Roman" w:hAnsi="Arial" w:cs="Arial"/>
                <w:color w:val="000000"/>
                <w:sz w:val="23"/>
                <w:szCs w:val="23"/>
              </w:rPr>
              <w:br/>
              <w:t>Set 7: MAT-003 and DRE-098</w:t>
            </w:r>
            <w:r w:rsidRPr="00032FC9">
              <w:rPr>
                <w:rFonts w:ascii="Arial" w:eastAsia="Times New Roman" w:hAnsi="Arial" w:cs="Arial"/>
                <w:color w:val="000000"/>
                <w:sz w:val="23"/>
                <w:szCs w:val="23"/>
              </w:rPr>
              <w:br/>
              <w:t>Set 8: MAT-003 and ENG-002</w:t>
            </w:r>
            <w:r w:rsidRPr="00032FC9">
              <w:rPr>
                <w:rFonts w:ascii="Arial" w:eastAsia="Times New Roman" w:hAnsi="Arial" w:cs="Arial"/>
                <w:color w:val="000000"/>
                <w:sz w:val="23"/>
                <w:szCs w:val="23"/>
              </w:rPr>
              <w:br/>
              <w:t>Set 9: MAT-003 and BSP-4002</w:t>
            </w:r>
            <w:r w:rsidRPr="00032FC9">
              <w:rPr>
                <w:rFonts w:ascii="Arial" w:eastAsia="Times New Roman" w:hAnsi="Arial" w:cs="Arial"/>
                <w:color w:val="000000"/>
                <w:sz w:val="23"/>
                <w:szCs w:val="23"/>
              </w:rPr>
              <w:br/>
              <w:t>Set 10: BSP-4003 and DRE-098</w:t>
            </w:r>
            <w:r w:rsidRPr="00032FC9">
              <w:rPr>
                <w:rFonts w:ascii="Arial" w:eastAsia="Times New Roman" w:hAnsi="Arial" w:cs="Arial"/>
                <w:color w:val="000000"/>
                <w:sz w:val="23"/>
                <w:szCs w:val="23"/>
              </w:rPr>
              <w:br/>
              <w:t>Set 11: BSP-4003 and ENG-002</w:t>
            </w:r>
            <w:r w:rsidRPr="00032FC9">
              <w:rPr>
                <w:rFonts w:ascii="Arial" w:eastAsia="Times New Roman" w:hAnsi="Arial" w:cs="Arial"/>
                <w:color w:val="000000"/>
                <w:sz w:val="23"/>
                <w:szCs w:val="23"/>
              </w:rPr>
              <w:br/>
              <w:t>Set 12: BSP-4003 and BSP-4002</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32FC9" w:rsidRPr="00032FC9" w:rsidTr="00032FC9">
        <w:trPr>
          <w:tblCellSpacing w:w="15" w:type="dxa"/>
          <w:jc w:val="center"/>
        </w:trPr>
        <w:tc>
          <w:tcPr>
            <w:tcW w:w="1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 xml:space="preserve">State </w:t>
            </w:r>
            <w:proofErr w:type="spellStart"/>
            <w:r w:rsidRPr="00032FC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Take MAT-043</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91"/>
        <w:gridCol w:w="2470"/>
      </w:tblGrid>
      <w:tr w:rsidR="00032FC9" w:rsidRPr="00032FC9" w:rsidTr="000D4204">
        <w:trPr>
          <w:tblCellSpacing w:w="15" w:type="dxa"/>
          <w:jc w:val="center"/>
        </w:trPr>
        <w:tc>
          <w:tcPr>
            <w:tcW w:w="99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D4204" w:rsidRDefault="00032FC9" w:rsidP="000D4204">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This course has been approved for transfer under the CAA as a general education course in Mathematics (Quantitative).</w:t>
            </w:r>
            <w:r w:rsidRPr="00032FC9">
              <w:rPr>
                <w:rFonts w:ascii="Arial" w:eastAsia="Times New Roman" w:hAnsi="Arial" w:cs="Arial"/>
                <w:color w:val="000000"/>
                <w:sz w:val="23"/>
                <w:szCs w:val="23"/>
              </w:rPr>
              <w:br/>
              <w:t>This course has been approved for transfer under the ICAA as a general education course in Mathematics (Quantitative).</w:t>
            </w:r>
          </w:p>
          <w:p w:rsidR="000D4204" w:rsidRPr="00032FC9" w:rsidRDefault="000D4204" w:rsidP="000D4204">
            <w:pPr>
              <w:spacing w:after="0" w:line="240" w:lineRule="auto"/>
              <w:rPr>
                <w:rFonts w:ascii="Arial" w:eastAsia="Times New Roman" w:hAnsi="Arial" w:cs="Arial"/>
                <w:color w:val="000000"/>
                <w:sz w:val="23"/>
                <w:szCs w:val="23"/>
              </w:rPr>
            </w:pPr>
          </w:p>
        </w:tc>
      </w:tr>
      <w:tr w:rsidR="000D4204" w:rsidRPr="000D4204" w:rsidTr="000D42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MAT-152</w:t>
            </w:r>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Statistical Methods I</w:t>
            </w:r>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MAT-152</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This course provides a project-based approach to introductory statistics with an emphasis on using real-world data and statistical literacy. Topics include descriptive statistics, correlation and regression, basic probability, discrete and continuous probability distributions, confidence intervals and hypothesis testing. Upon completion, students should be able to use appropriate technology to describe important characteristics of a data set, draw inferences about a population from sample data, and interpret and communicate results.</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Times New Roman" w:eastAsia="Times New Roman" w:hAnsi="Times New Roman" w:cs="Times New Roman"/>
                <w:sz w:val="24"/>
                <w:szCs w:val="24"/>
              </w:rPr>
            </w:pP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Competencies</w:t>
            </w:r>
          </w:p>
        </w:tc>
      </w:tr>
      <w:tr w:rsidR="000D4204" w:rsidRPr="000D4204" w:rsidTr="000D4204">
        <w:trPr>
          <w:tblCellSpacing w:w="15" w:type="dxa"/>
          <w:jc w:val="center"/>
        </w:trPr>
        <w:tc>
          <w:tcPr>
            <w:tcW w:w="4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·Student Learning Outcomes</w:t>
            </w:r>
            <w:r w:rsidRPr="000D4204">
              <w:rPr>
                <w:rFonts w:ascii="Arial" w:eastAsia="Times New Roman" w:hAnsi="Arial" w:cs="Arial"/>
                <w:color w:val="000000"/>
                <w:sz w:val="23"/>
                <w:szCs w:val="23"/>
              </w:rPr>
              <w:br/>
              <w:t>1. Organize, display, calculate, and interpret descriptive statistics</w:t>
            </w:r>
            <w:r w:rsidRPr="000D4204">
              <w:rPr>
                <w:rFonts w:ascii="Arial" w:eastAsia="Times New Roman" w:hAnsi="Arial" w:cs="Arial"/>
                <w:color w:val="000000"/>
                <w:sz w:val="23"/>
                <w:szCs w:val="23"/>
              </w:rPr>
              <w:br/>
              <w:t>2. Apply basic rules of probability</w:t>
            </w:r>
            <w:r w:rsidRPr="000D4204">
              <w:rPr>
                <w:rFonts w:ascii="Arial" w:eastAsia="Times New Roman" w:hAnsi="Arial" w:cs="Arial"/>
                <w:color w:val="000000"/>
                <w:sz w:val="23"/>
                <w:szCs w:val="23"/>
              </w:rPr>
              <w:br/>
              <w:t>3. Identify and apply appropriate probability distributions</w:t>
            </w:r>
            <w:r w:rsidRPr="000D4204">
              <w:rPr>
                <w:rFonts w:ascii="Arial" w:eastAsia="Times New Roman" w:hAnsi="Arial" w:cs="Arial"/>
                <w:color w:val="000000"/>
                <w:sz w:val="23"/>
                <w:szCs w:val="23"/>
              </w:rPr>
              <w:br/>
              <w:t>4. Perform regression analysis</w:t>
            </w:r>
            <w:r w:rsidRPr="000D4204">
              <w:rPr>
                <w:rFonts w:ascii="Arial" w:eastAsia="Times New Roman" w:hAnsi="Arial" w:cs="Arial"/>
                <w:color w:val="000000"/>
                <w:sz w:val="23"/>
                <w:szCs w:val="23"/>
              </w:rPr>
              <w:br/>
              <w:t>5. Analyze sample data to draw inferences about a population parameter</w:t>
            </w:r>
            <w:r w:rsidRPr="000D4204">
              <w:rPr>
                <w:rFonts w:ascii="Arial" w:eastAsia="Times New Roman" w:hAnsi="Arial" w:cs="Arial"/>
                <w:color w:val="000000"/>
                <w:sz w:val="23"/>
                <w:szCs w:val="23"/>
              </w:rPr>
              <w:br/>
              <w:t>6. Communicate results through a variety of media</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Times New Roman" w:eastAsia="Times New Roman" w:hAnsi="Times New Roman" w:cs="Times New Roman"/>
                <w:sz w:val="24"/>
                <w:szCs w:val="24"/>
              </w:rPr>
            </w:pP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Take One Set:</w:t>
            </w:r>
            <w:r w:rsidRPr="000D4204">
              <w:rPr>
                <w:rFonts w:ascii="Arial" w:eastAsia="Times New Roman" w:hAnsi="Arial" w:cs="Arial"/>
                <w:color w:val="000000"/>
                <w:sz w:val="23"/>
                <w:szCs w:val="23"/>
              </w:rPr>
              <w:br/>
              <w:t>Set 1: DMA-010, DMA-020, DMA-030, and DRE-098</w:t>
            </w:r>
            <w:r w:rsidRPr="000D4204">
              <w:rPr>
                <w:rFonts w:ascii="Arial" w:eastAsia="Times New Roman" w:hAnsi="Arial" w:cs="Arial"/>
                <w:color w:val="000000"/>
                <w:sz w:val="23"/>
                <w:szCs w:val="23"/>
              </w:rPr>
              <w:br/>
              <w:t>Set 2: DMA-010, DMA-020, DMA-030, and ENG-002</w:t>
            </w:r>
            <w:r w:rsidRPr="000D4204">
              <w:rPr>
                <w:rFonts w:ascii="Arial" w:eastAsia="Times New Roman" w:hAnsi="Arial" w:cs="Arial"/>
                <w:color w:val="000000"/>
                <w:sz w:val="23"/>
                <w:szCs w:val="23"/>
              </w:rPr>
              <w:br/>
              <w:t>Set 3: DMA-010, DMA-020, DMA-030, and BSP-4002</w:t>
            </w:r>
            <w:r w:rsidRPr="000D4204">
              <w:rPr>
                <w:rFonts w:ascii="Arial" w:eastAsia="Times New Roman" w:hAnsi="Arial" w:cs="Arial"/>
                <w:color w:val="000000"/>
                <w:sz w:val="23"/>
                <w:szCs w:val="23"/>
              </w:rPr>
              <w:br/>
              <w:t>Set 4: DMA-025, and DRE-098</w:t>
            </w:r>
            <w:r w:rsidRPr="000D4204">
              <w:rPr>
                <w:rFonts w:ascii="Arial" w:eastAsia="Times New Roman" w:hAnsi="Arial" w:cs="Arial"/>
                <w:color w:val="000000"/>
                <w:sz w:val="23"/>
                <w:szCs w:val="23"/>
              </w:rPr>
              <w:br/>
              <w:t>Set 5: DMA-025, and ENG-002</w:t>
            </w:r>
            <w:r w:rsidRPr="000D4204">
              <w:rPr>
                <w:rFonts w:ascii="Arial" w:eastAsia="Times New Roman" w:hAnsi="Arial" w:cs="Arial"/>
                <w:color w:val="000000"/>
                <w:sz w:val="23"/>
                <w:szCs w:val="23"/>
              </w:rPr>
              <w:br/>
              <w:t>Set 6: DMA-025, and BSP-4002</w:t>
            </w:r>
            <w:r w:rsidRPr="000D4204">
              <w:rPr>
                <w:rFonts w:ascii="Arial" w:eastAsia="Times New Roman" w:hAnsi="Arial" w:cs="Arial"/>
                <w:color w:val="000000"/>
                <w:sz w:val="23"/>
                <w:szCs w:val="23"/>
              </w:rPr>
              <w:br/>
              <w:t>Set 7: MAT-003 and DRE-098</w:t>
            </w:r>
            <w:r w:rsidRPr="000D4204">
              <w:rPr>
                <w:rFonts w:ascii="Arial" w:eastAsia="Times New Roman" w:hAnsi="Arial" w:cs="Arial"/>
                <w:color w:val="000000"/>
                <w:sz w:val="23"/>
                <w:szCs w:val="23"/>
              </w:rPr>
              <w:br/>
              <w:t>Set 8: MAT-003 and ENG-002</w:t>
            </w:r>
            <w:r w:rsidRPr="000D4204">
              <w:rPr>
                <w:rFonts w:ascii="Arial" w:eastAsia="Times New Roman" w:hAnsi="Arial" w:cs="Arial"/>
                <w:color w:val="000000"/>
                <w:sz w:val="23"/>
                <w:szCs w:val="23"/>
              </w:rPr>
              <w:br/>
              <w:t>Set 9: MAT-003 and BSP-4002</w:t>
            </w:r>
            <w:r w:rsidRPr="000D4204">
              <w:rPr>
                <w:rFonts w:ascii="Arial" w:eastAsia="Times New Roman" w:hAnsi="Arial" w:cs="Arial"/>
                <w:color w:val="000000"/>
                <w:sz w:val="23"/>
                <w:szCs w:val="23"/>
              </w:rPr>
              <w:br/>
              <w:t>Set 10: BSP-4003 and DRE-098</w:t>
            </w:r>
            <w:r w:rsidRPr="000D4204">
              <w:rPr>
                <w:rFonts w:ascii="Arial" w:eastAsia="Times New Roman" w:hAnsi="Arial" w:cs="Arial"/>
                <w:color w:val="000000"/>
                <w:sz w:val="23"/>
                <w:szCs w:val="23"/>
              </w:rPr>
              <w:br/>
              <w:t>Set 11: BSP-4003 and ENG-002</w:t>
            </w:r>
            <w:r w:rsidRPr="000D4204">
              <w:rPr>
                <w:rFonts w:ascii="Arial" w:eastAsia="Times New Roman" w:hAnsi="Arial" w:cs="Arial"/>
                <w:color w:val="000000"/>
                <w:sz w:val="23"/>
                <w:szCs w:val="23"/>
              </w:rPr>
              <w:br/>
              <w:t>Set 12: BSP-4003 and BSP-4002</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 xml:space="preserve">State </w:t>
            </w:r>
            <w:proofErr w:type="spellStart"/>
            <w:r w:rsidRPr="000D42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Take MAT-052</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15"/>
        <w:gridCol w:w="2446"/>
      </w:tblGrid>
      <w:tr w:rsidR="000D4204" w:rsidRPr="000D4204" w:rsidTr="000D4204">
        <w:trPr>
          <w:tblCellSpacing w:w="15" w:type="dxa"/>
          <w:jc w:val="center"/>
        </w:trPr>
        <w:tc>
          <w:tcPr>
            <w:tcW w:w="99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This course has been approved for transfer under the CAA as a general education course in Mathematics (Quantitative).</w:t>
            </w:r>
            <w:r w:rsidRPr="000D4204">
              <w:rPr>
                <w:rFonts w:ascii="Arial" w:eastAsia="Times New Roman" w:hAnsi="Arial" w:cs="Arial"/>
                <w:color w:val="000000"/>
                <w:sz w:val="23"/>
                <w:szCs w:val="23"/>
              </w:rPr>
              <w:br/>
              <w:t>This course has been approved for transfer under the ICAA as a general education course in Mathematics (Quantitative).</w:t>
            </w:r>
          </w:p>
          <w:p w:rsidR="000D4204" w:rsidRPr="000D4204" w:rsidRDefault="000D4204" w:rsidP="000D4204">
            <w:pPr>
              <w:spacing w:after="0" w:line="240" w:lineRule="auto"/>
              <w:rPr>
                <w:rFonts w:ascii="Arial" w:eastAsia="Times New Roman" w:hAnsi="Arial" w:cs="Arial"/>
                <w:color w:val="000000"/>
                <w:sz w:val="23"/>
                <w:szCs w:val="23"/>
              </w:rPr>
            </w:pPr>
          </w:p>
        </w:tc>
      </w:tr>
      <w:tr w:rsidR="000D4204" w:rsidRPr="000D4204" w:rsidTr="000D42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MAT-171</w:t>
            </w:r>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proofErr w:type="spellStart"/>
            <w:r w:rsidRPr="000D4204">
              <w:rPr>
                <w:rFonts w:ascii="Arial" w:eastAsia="Times New Roman" w:hAnsi="Arial" w:cs="Arial"/>
                <w:b/>
                <w:bCs/>
                <w:color w:val="000000"/>
                <w:sz w:val="23"/>
                <w:szCs w:val="23"/>
              </w:rPr>
              <w:t>Precalculus</w:t>
            </w:r>
            <w:proofErr w:type="spellEnd"/>
            <w:r w:rsidRPr="000D4204">
              <w:rPr>
                <w:rFonts w:ascii="Arial" w:eastAsia="Times New Roman" w:hAnsi="Arial" w:cs="Arial"/>
                <w:b/>
                <w:bCs/>
                <w:color w:val="000000"/>
                <w:sz w:val="23"/>
                <w:szCs w:val="23"/>
              </w:rPr>
              <w:t xml:space="preserve"> Algebra</w:t>
            </w:r>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MAT-171</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This course is designed to develop topics which are fundamental to the study of Calculus. Emphasis is placed on solving equations and inequalities, solving systems of equations and inequalities, and analysis of functions (absolute value, radical, polynomial, rational, exponential, and logarithmic) in multiple representations. Upon completion, students should be able to select and use appropriate models and techniques for finding solutions to algebra-related problems with and without technology.</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Times New Roman" w:eastAsia="Times New Roman" w:hAnsi="Times New Roman" w:cs="Times New Roman"/>
                <w:sz w:val="24"/>
                <w:szCs w:val="24"/>
              </w:rPr>
            </w:pP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Competencies</w:t>
            </w:r>
          </w:p>
        </w:tc>
      </w:tr>
      <w:tr w:rsidR="000D4204" w:rsidRPr="000D4204" w:rsidTr="000D4204">
        <w:trPr>
          <w:tblCellSpacing w:w="15" w:type="dxa"/>
          <w:jc w:val="center"/>
        </w:trPr>
        <w:tc>
          <w:tcPr>
            <w:tcW w:w="4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·Student Learning Outcomes</w:t>
            </w:r>
            <w:r w:rsidRPr="000D4204">
              <w:rPr>
                <w:rFonts w:ascii="Arial" w:eastAsia="Times New Roman" w:hAnsi="Arial" w:cs="Arial"/>
                <w:color w:val="000000"/>
                <w:sz w:val="23"/>
                <w:szCs w:val="23"/>
              </w:rPr>
              <w:br/>
              <w:t>1. Use analytical, graphical, and numerical representations to solve absolute value, radical, polynomial, rational, exponential, and logarithmic equations with both real and complex solutions.</w:t>
            </w:r>
            <w:r w:rsidRPr="000D4204">
              <w:rPr>
                <w:rFonts w:ascii="Arial" w:eastAsia="Times New Roman" w:hAnsi="Arial" w:cs="Arial"/>
                <w:color w:val="000000"/>
                <w:sz w:val="23"/>
                <w:szCs w:val="23"/>
              </w:rPr>
              <w:br/>
              <w:t>2. Use analytical, graphical, and numerical representations to solve absolute value, polynomial and rational inequalities with real solutions.</w:t>
            </w:r>
            <w:r w:rsidRPr="000D4204">
              <w:rPr>
                <w:rFonts w:ascii="Arial" w:eastAsia="Times New Roman" w:hAnsi="Arial" w:cs="Arial"/>
                <w:color w:val="000000"/>
                <w:sz w:val="23"/>
                <w:szCs w:val="23"/>
              </w:rPr>
              <w:br/>
              <w:t>3. Use analytical, graphical, and numerical representations to analyze absolute value, radical, polynomial, rational, exponential and logarithmic functions with both real and complex zeros.</w:t>
            </w:r>
            <w:r w:rsidRPr="000D4204">
              <w:rPr>
                <w:rFonts w:ascii="Arial" w:eastAsia="Times New Roman" w:hAnsi="Arial" w:cs="Arial"/>
                <w:color w:val="000000"/>
                <w:sz w:val="23"/>
                <w:szCs w:val="23"/>
              </w:rPr>
              <w:br/>
              <w:t>4. Use multiple methods to solve problems involving systems of equations and apply to decomposing partial fractions.</w:t>
            </w:r>
            <w:r w:rsidRPr="000D4204">
              <w:rPr>
                <w:rFonts w:ascii="Arial" w:eastAsia="Times New Roman" w:hAnsi="Arial" w:cs="Arial"/>
                <w:color w:val="000000"/>
                <w:sz w:val="23"/>
                <w:szCs w:val="23"/>
              </w:rPr>
              <w:br/>
              <w:t>5. Construct the composition and inverse of functions.</w:t>
            </w:r>
            <w:r w:rsidRPr="000D4204">
              <w:rPr>
                <w:rFonts w:ascii="Arial" w:eastAsia="Times New Roman" w:hAnsi="Arial" w:cs="Arial"/>
                <w:color w:val="000000"/>
                <w:sz w:val="23"/>
                <w:szCs w:val="23"/>
              </w:rPr>
              <w:br/>
              <w:t>6. Use polynomial, exponential and logarithmic functions to model various real world situations in order to analyze, draw conclusions, and make predictions.</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Times New Roman" w:eastAsia="Times New Roman" w:hAnsi="Times New Roman" w:cs="Times New Roman"/>
                <w:sz w:val="24"/>
                <w:szCs w:val="24"/>
              </w:rPr>
            </w:pP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Take One Set:</w:t>
            </w:r>
            <w:r w:rsidRPr="000D4204">
              <w:rPr>
                <w:rFonts w:ascii="Arial" w:eastAsia="Times New Roman" w:hAnsi="Arial" w:cs="Arial"/>
                <w:color w:val="000000"/>
                <w:sz w:val="23"/>
                <w:szCs w:val="23"/>
              </w:rPr>
              <w:br/>
              <w:t>Set 1: DMA-010, DMA-020, DMA-030, DMA-040, DMA-050,</w:t>
            </w:r>
            <w:r w:rsidRPr="000D4204">
              <w:rPr>
                <w:rFonts w:ascii="Arial" w:eastAsia="Times New Roman" w:hAnsi="Arial" w:cs="Arial"/>
                <w:color w:val="000000"/>
                <w:sz w:val="23"/>
                <w:szCs w:val="23"/>
              </w:rPr>
              <w:br/>
              <w:t>DMA-060, DMA-070, and DMA-080</w:t>
            </w:r>
            <w:r w:rsidRPr="000D4204">
              <w:rPr>
                <w:rFonts w:ascii="Arial" w:eastAsia="Times New Roman" w:hAnsi="Arial" w:cs="Arial"/>
                <w:color w:val="000000"/>
                <w:sz w:val="23"/>
                <w:szCs w:val="23"/>
              </w:rPr>
              <w:br/>
              <w:t>Set 2: DMA-010, DMA-020, DMA-030, DMA-040, DMA-050, and</w:t>
            </w:r>
            <w:r w:rsidRPr="000D4204">
              <w:rPr>
                <w:rFonts w:ascii="Arial" w:eastAsia="Times New Roman" w:hAnsi="Arial" w:cs="Arial"/>
                <w:color w:val="000000"/>
                <w:sz w:val="23"/>
                <w:szCs w:val="23"/>
              </w:rPr>
              <w:br/>
              <w:t>DMA-065</w:t>
            </w:r>
            <w:r w:rsidRPr="000D4204">
              <w:rPr>
                <w:rFonts w:ascii="Arial" w:eastAsia="Times New Roman" w:hAnsi="Arial" w:cs="Arial"/>
                <w:color w:val="000000"/>
                <w:sz w:val="23"/>
                <w:szCs w:val="23"/>
              </w:rPr>
              <w:br/>
              <w:t>Set 3: DMA-010, DMA-020, DMA-030, DMA-045, DMA-060,</w:t>
            </w:r>
            <w:r w:rsidRPr="000D4204">
              <w:rPr>
                <w:rFonts w:ascii="Arial" w:eastAsia="Times New Roman" w:hAnsi="Arial" w:cs="Arial"/>
                <w:color w:val="000000"/>
                <w:sz w:val="23"/>
                <w:szCs w:val="23"/>
              </w:rPr>
              <w:br/>
              <w:t>DMA-070, and DMA-080</w:t>
            </w:r>
            <w:r w:rsidRPr="000D4204">
              <w:rPr>
                <w:rFonts w:ascii="Arial" w:eastAsia="Times New Roman" w:hAnsi="Arial" w:cs="Arial"/>
                <w:color w:val="000000"/>
                <w:sz w:val="23"/>
                <w:szCs w:val="23"/>
              </w:rPr>
              <w:br/>
              <w:t>Set 4: DMA-010, DMA-020, DMA-030, DMA-045, and DMA-065</w:t>
            </w:r>
            <w:r w:rsidRPr="000D4204">
              <w:rPr>
                <w:rFonts w:ascii="Arial" w:eastAsia="Times New Roman" w:hAnsi="Arial" w:cs="Arial"/>
                <w:color w:val="000000"/>
                <w:sz w:val="23"/>
                <w:szCs w:val="23"/>
              </w:rPr>
              <w:br/>
              <w:t>Set 5: DMA-025, DMA-040, DMA-050, DMA-060, DMA-070, and</w:t>
            </w:r>
            <w:r w:rsidRPr="000D4204">
              <w:rPr>
                <w:rFonts w:ascii="Arial" w:eastAsia="Times New Roman" w:hAnsi="Arial" w:cs="Arial"/>
                <w:color w:val="000000"/>
                <w:sz w:val="23"/>
                <w:szCs w:val="23"/>
              </w:rPr>
              <w:br/>
              <w:t>DMA-080</w:t>
            </w:r>
            <w:r w:rsidRPr="000D4204">
              <w:rPr>
                <w:rFonts w:ascii="Arial" w:eastAsia="Times New Roman" w:hAnsi="Arial" w:cs="Arial"/>
                <w:color w:val="000000"/>
                <w:sz w:val="23"/>
                <w:szCs w:val="23"/>
              </w:rPr>
              <w:br/>
              <w:t>Set 6: DMA-025, DMA-040, DMA-050, and DMA-065</w:t>
            </w:r>
            <w:r w:rsidRPr="000D4204">
              <w:rPr>
                <w:rFonts w:ascii="Arial" w:eastAsia="Times New Roman" w:hAnsi="Arial" w:cs="Arial"/>
                <w:color w:val="000000"/>
                <w:sz w:val="23"/>
                <w:szCs w:val="23"/>
              </w:rPr>
              <w:br/>
              <w:t>Set 7: DMA-025, DMA-045, DMA-060, DMA-070, and DMA-080</w:t>
            </w:r>
            <w:r w:rsidRPr="000D4204">
              <w:rPr>
                <w:rFonts w:ascii="Arial" w:eastAsia="Times New Roman" w:hAnsi="Arial" w:cs="Arial"/>
                <w:color w:val="000000"/>
                <w:sz w:val="23"/>
                <w:szCs w:val="23"/>
              </w:rPr>
              <w:br/>
              <w:t>Set 8: DMA-025, DMA-045, and DMA-065</w:t>
            </w:r>
            <w:r w:rsidRPr="000D4204">
              <w:rPr>
                <w:rFonts w:ascii="Arial" w:eastAsia="Times New Roman" w:hAnsi="Arial" w:cs="Arial"/>
                <w:color w:val="000000"/>
                <w:sz w:val="23"/>
                <w:szCs w:val="23"/>
              </w:rPr>
              <w:br/>
              <w:t>Set 9: MAT-121</w:t>
            </w:r>
            <w:r w:rsidRPr="000D4204">
              <w:rPr>
                <w:rFonts w:ascii="Arial" w:eastAsia="Times New Roman" w:hAnsi="Arial" w:cs="Arial"/>
                <w:color w:val="000000"/>
                <w:sz w:val="23"/>
                <w:szCs w:val="23"/>
              </w:rPr>
              <w:br/>
              <w:t>Set 10: MAT-003</w:t>
            </w:r>
            <w:r w:rsidRPr="000D4204">
              <w:rPr>
                <w:rFonts w:ascii="Arial" w:eastAsia="Times New Roman" w:hAnsi="Arial" w:cs="Arial"/>
                <w:color w:val="000000"/>
                <w:sz w:val="23"/>
                <w:szCs w:val="23"/>
              </w:rPr>
              <w:br/>
              <w:t>Set 11: BSP-4003</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 xml:space="preserve">State </w:t>
            </w:r>
            <w:proofErr w:type="spellStart"/>
            <w:r w:rsidRPr="000D42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None</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54"/>
        <w:gridCol w:w="2107"/>
      </w:tblGrid>
      <w:tr w:rsidR="000D4204" w:rsidRPr="000D4204" w:rsidTr="00D016FE">
        <w:trPr>
          <w:tblCellSpacing w:w="15" w:type="dxa"/>
          <w:jc w:val="center"/>
        </w:trPr>
        <w:tc>
          <w:tcPr>
            <w:tcW w:w="99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This course has been approved for transfer under the CAA as a general education course in Mathematics.</w:t>
            </w:r>
            <w:r w:rsidRPr="000D4204">
              <w:rPr>
                <w:rFonts w:ascii="Arial" w:eastAsia="Times New Roman" w:hAnsi="Arial" w:cs="Arial"/>
                <w:color w:val="000000"/>
                <w:sz w:val="23"/>
                <w:szCs w:val="23"/>
              </w:rPr>
              <w:br/>
              <w:t>This course has been approved for transfer under the ICAA as a general education course in Mathematics.</w:t>
            </w:r>
          </w:p>
          <w:p w:rsidR="000D4204" w:rsidRPr="000D4204" w:rsidRDefault="000D4204" w:rsidP="000D4204">
            <w:pPr>
              <w:spacing w:after="0" w:line="240" w:lineRule="auto"/>
              <w:rPr>
                <w:rFonts w:ascii="Arial" w:eastAsia="Times New Roman" w:hAnsi="Arial" w:cs="Arial"/>
                <w:color w:val="000000"/>
                <w:sz w:val="23"/>
                <w:szCs w:val="23"/>
              </w:rPr>
            </w:pPr>
          </w:p>
        </w:tc>
      </w:tr>
      <w:tr w:rsidR="00D016FE" w:rsidRPr="00D016FE" w:rsidTr="00D016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MAT-172</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proofErr w:type="spellStart"/>
            <w:r w:rsidRPr="00D016FE">
              <w:rPr>
                <w:rFonts w:ascii="Arial" w:eastAsia="Times New Roman" w:hAnsi="Arial" w:cs="Arial"/>
                <w:b/>
                <w:bCs/>
                <w:color w:val="000000"/>
                <w:sz w:val="23"/>
                <w:szCs w:val="23"/>
              </w:rPr>
              <w:t>Precalculus</w:t>
            </w:r>
            <w:proofErr w:type="spellEnd"/>
            <w:r w:rsidRPr="00D016FE">
              <w:rPr>
                <w:rFonts w:ascii="Arial" w:eastAsia="Times New Roman" w:hAnsi="Arial" w:cs="Arial"/>
                <w:b/>
                <w:bCs/>
                <w:color w:val="000000"/>
                <w:sz w:val="23"/>
                <w:szCs w:val="23"/>
              </w:rPr>
              <w:t xml:space="preserve"> Trigonometry</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MAT-172</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is designed to develop an understanding of topics which are fundamental to the study of Calculus. Emphasis is placed on the analysis of trigonometric functions in multiple representations, right and oblique triangles, vectors, polar coordinates, conic sections, and parametric equations. Upon completion, students should be able to select and use appropriate models and techniques for finding solutions to trigonometry-related problems with and without technology.</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Competencies</w:t>
            </w:r>
          </w:p>
        </w:tc>
      </w:tr>
      <w:tr w:rsidR="00D016FE" w:rsidRPr="00D016FE" w:rsidTr="00D016FE">
        <w:trPr>
          <w:tblCellSpacing w:w="15" w:type="dxa"/>
          <w:jc w:val="center"/>
        </w:trPr>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·Student Learning Outcomes</w:t>
            </w:r>
            <w:r w:rsidRPr="00D016FE">
              <w:rPr>
                <w:rFonts w:ascii="Arial" w:eastAsia="Times New Roman" w:hAnsi="Arial" w:cs="Arial"/>
                <w:color w:val="000000"/>
                <w:sz w:val="23"/>
                <w:szCs w:val="23"/>
              </w:rPr>
              <w:br/>
              <w:t>1. Use the unit circle and right triangle definitions to evaluate and graph trigonometric functions and their inverses, to derive trigonometric identities, and to simplify trigonometric expressions.</w:t>
            </w:r>
            <w:r w:rsidRPr="00D016FE">
              <w:rPr>
                <w:rFonts w:ascii="Arial" w:eastAsia="Times New Roman" w:hAnsi="Arial" w:cs="Arial"/>
                <w:color w:val="000000"/>
                <w:sz w:val="23"/>
                <w:szCs w:val="23"/>
              </w:rPr>
              <w:br/>
              <w:t>2. Use multiple methods to solve problems involving trigonometric equations, right triangles, and oblique triangles.</w:t>
            </w:r>
            <w:r w:rsidRPr="00D016FE">
              <w:rPr>
                <w:rFonts w:ascii="Arial" w:eastAsia="Times New Roman" w:hAnsi="Arial" w:cs="Arial"/>
                <w:color w:val="000000"/>
                <w:sz w:val="23"/>
                <w:szCs w:val="23"/>
              </w:rPr>
              <w:br/>
              <w:t>3. Demonstrate knowledge of vector definitions and perform vector operations.</w:t>
            </w:r>
            <w:r w:rsidRPr="00D016FE">
              <w:rPr>
                <w:rFonts w:ascii="Arial" w:eastAsia="Times New Roman" w:hAnsi="Arial" w:cs="Arial"/>
                <w:color w:val="000000"/>
                <w:sz w:val="23"/>
                <w:szCs w:val="23"/>
              </w:rPr>
              <w:br/>
              <w:t>4. Convert equations and graphs between rectangular and polar coordinate systems, and apply to complex numbers.</w:t>
            </w:r>
            <w:r w:rsidRPr="00D016FE">
              <w:rPr>
                <w:rFonts w:ascii="Arial" w:eastAsia="Times New Roman" w:hAnsi="Arial" w:cs="Arial"/>
                <w:color w:val="000000"/>
                <w:sz w:val="23"/>
                <w:szCs w:val="23"/>
              </w:rPr>
              <w:br/>
              <w:t>5. Use multiple representations to define, construct and analyze conic sections.</w:t>
            </w:r>
            <w:r w:rsidRPr="00D016FE">
              <w:rPr>
                <w:rFonts w:ascii="Arial" w:eastAsia="Times New Roman" w:hAnsi="Arial" w:cs="Arial"/>
                <w:color w:val="000000"/>
                <w:sz w:val="23"/>
                <w:szCs w:val="23"/>
              </w:rPr>
              <w:br/>
              <w:t>6. Create, graph, and analyze parametric equations.</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Take MAT-171</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 xml:space="preserve">State </w:t>
            </w:r>
            <w:proofErr w:type="spellStart"/>
            <w:r w:rsidRPr="00D016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32"/>
        <w:gridCol w:w="1929"/>
      </w:tblGrid>
      <w:tr w:rsidR="00D016FE" w:rsidRPr="00D016FE" w:rsidTr="00D016FE">
        <w:trPr>
          <w:tblCellSpacing w:w="15" w:type="dxa"/>
          <w:jc w:val="center"/>
        </w:trPr>
        <w:tc>
          <w:tcPr>
            <w:tcW w:w="99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has been approved for transfer under the CAA as a general education course in Mathematics.</w:t>
            </w:r>
            <w:r w:rsidRPr="00D016FE">
              <w:rPr>
                <w:rFonts w:ascii="Arial" w:eastAsia="Times New Roman" w:hAnsi="Arial" w:cs="Arial"/>
                <w:color w:val="000000"/>
                <w:sz w:val="23"/>
                <w:szCs w:val="23"/>
              </w:rPr>
              <w:br/>
              <w:t>This course has been approved for transfer under the ICAA as a general education course in Mathematics.</w:t>
            </w:r>
          </w:p>
          <w:p w:rsidR="00D016FE" w:rsidRPr="00D016FE" w:rsidRDefault="00D016FE" w:rsidP="00D016FE">
            <w:pPr>
              <w:spacing w:after="0" w:line="240" w:lineRule="auto"/>
              <w:rPr>
                <w:rFonts w:ascii="Arial" w:eastAsia="Times New Roman" w:hAnsi="Arial" w:cs="Arial"/>
                <w:color w:val="000000"/>
                <w:sz w:val="23"/>
                <w:szCs w:val="23"/>
              </w:rPr>
            </w:pPr>
          </w:p>
        </w:tc>
      </w:tr>
      <w:tr w:rsidR="00D016FE" w:rsidRPr="00D016FE" w:rsidTr="00D016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CIS-110</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CIS-110</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Competencies</w:t>
            </w:r>
          </w:p>
        </w:tc>
      </w:tr>
      <w:tr w:rsidR="00D016FE" w:rsidRPr="00D016FE" w:rsidTr="00D016FE">
        <w:trPr>
          <w:tblCellSpacing w:w="15" w:type="dxa"/>
          <w:jc w:val="center"/>
        </w:trPr>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1. Identify the basic elements required in a computer system.</w:t>
            </w:r>
            <w:r w:rsidRPr="00D016FE">
              <w:rPr>
                <w:rFonts w:ascii="Arial" w:eastAsia="Times New Roman" w:hAnsi="Arial" w:cs="Arial"/>
                <w:color w:val="000000"/>
                <w:sz w:val="23"/>
                <w:szCs w:val="23"/>
              </w:rPr>
              <w:br/>
              <w:t>2. Produce electronic documents using various software applications.</w:t>
            </w:r>
            <w:r w:rsidRPr="00D016FE">
              <w:rPr>
                <w:rFonts w:ascii="Arial" w:eastAsia="Times New Roman" w:hAnsi="Arial" w:cs="Arial"/>
                <w:color w:val="000000"/>
                <w:sz w:val="23"/>
                <w:szCs w:val="23"/>
              </w:rPr>
              <w:br/>
              <w:t>3. Illustrate the role of the computer for personal and professional uses.</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 xml:space="preserve">State </w:t>
            </w:r>
            <w:proofErr w:type="spellStart"/>
            <w:r w:rsidRPr="00D016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73"/>
        <w:gridCol w:w="2488"/>
      </w:tblGrid>
      <w:tr w:rsidR="00D016FE" w:rsidRPr="00D016FE" w:rsidTr="00D016FE">
        <w:trPr>
          <w:tblCellSpacing w:w="15" w:type="dxa"/>
          <w:jc w:val="center"/>
        </w:trPr>
        <w:tc>
          <w:tcPr>
            <w:tcW w:w="99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has been approved for transfer under the CAA as a general education course in Mathematics (Quantitative).</w:t>
            </w:r>
            <w:r w:rsidRPr="00D016FE">
              <w:rPr>
                <w:rFonts w:ascii="Arial" w:eastAsia="Times New Roman" w:hAnsi="Arial" w:cs="Arial"/>
                <w:color w:val="000000"/>
                <w:sz w:val="23"/>
                <w:szCs w:val="23"/>
              </w:rPr>
              <w:br/>
              <w:t>This course has been approved for transfer under the ICAA as a general education course in Mathematics (Quantitative).</w:t>
            </w:r>
          </w:p>
          <w:p w:rsidR="00D016FE" w:rsidRPr="00D016FE" w:rsidRDefault="00D016FE" w:rsidP="00D016FE">
            <w:pPr>
              <w:spacing w:after="0" w:line="240" w:lineRule="auto"/>
              <w:rPr>
                <w:rFonts w:ascii="Arial" w:eastAsia="Times New Roman" w:hAnsi="Arial" w:cs="Arial"/>
                <w:color w:val="000000"/>
                <w:sz w:val="23"/>
                <w:szCs w:val="23"/>
              </w:rPr>
            </w:pPr>
          </w:p>
        </w:tc>
      </w:tr>
      <w:tr w:rsidR="00D016FE" w:rsidRPr="00D016FE" w:rsidTr="00D016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CIS-111</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Basic PC Literacy</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CIS-111</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provides an overview of computer concepts. Emphasis is placed on the use of personal computers and software applications for personal and fundamental workplace use. Upon completion, students should be able to demonstrate basic personal computer skills.</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 xml:space="preserve">State </w:t>
            </w:r>
            <w:proofErr w:type="spellStart"/>
            <w:r w:rsidRPr="00D016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49"/>
        <w:gridCol w:w="2212"/>
      </w:tblGrid>
      <w:tr w:rsidR="00D016FE" w:rsidRPr="00D016FE" w:rsidTr="00D016FE">
        <w:trPr>
          <w:tblCellSpacing w:w="15" w:type="dxa"/>
          <w:jc w:val="center"/>
        </w:trPr>
        <w:tc>
          <w:tcPr>
            <w:tcW w:w="990" w:type="pct"/>
            <w:shd w:val="clear" w:color="auto" w:fill="FFFFFF"/>
            <w:tcMar>
              <w:top w:w="30" w:type="dxa"/>
              <w:left w:w="90" w:type="dxa"/>
              <w:bottom w:w="30" w:type="dxa"/>
              <w:right w:w="90" w:type="dxa"/>
            </w:tcMar>
            <w:hideMark/>
          </w:tcPr>
          <w:p w:rsid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College Transfer</w:t>
            </w:r>
          </w:p>
          <w:p w:rsidR="00D016FE" w:rsidRPr="00D016FE" w:rsidRDefault="00D016FE" w:rsidP="00D016FE">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N/A</w:t>
            </w:r>
          </w:p>
        </w:tc>
      </w:tr>
      <w:tr w:rsidR="00D016FE" w:rsidRPr="00D016FE" w:rsidTr="00D016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CIS-115</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 xml:space="preserve">Intro to </w:t>
            </w:r>
            <w:proofErr w:type="spellStart"/>
            <w:r w:rsidRPr="00D016FE">
              <w:rPr>
                <w:rFonts w:ascii="Arial" w:eastAsia="Times New Roman" w:hAnsi="Arial" w:cs="Arial"/>
                <w:b/>
                <w:bCs/>
                <w:color w:val="000000"/>
                <w:sz w:val="23"/>
                <w:szCs w:val="23"/>
              </w:rPr>
              <w:t>Prog</w:t>
            </w:r>
            <w:proofErr w:type="spellEnd"/>
            <w:r w:rsidRPr="00D016FE">
              <w:rPr>
                <w:rFonts w:ascii="Arial" w:eastAsia="Times New Roman" w:hAnsi="Arial" w:cs="Arial"/>
                <w:b/>
                <w:bCs/>
                <w:color w:val="000000"/>
                <w:sz w:val="23"/>
                <w:szCs w:val="23"/>
              </w:rPr>
              <w:t xml:space="preserve"> &amp; Logic</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CIS-115</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introduces computer programming and problem solving in a structured program logic environment. Topics include language syntax, data types, program organization, problem solving methods, algorithm design, and logic control structures. Upon completion, students should be able to use top-down algorithm design and implement algorithmic solutions in a programming language.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Competencies</w:t>
            </w:r>
          </w:p>
        </w:tc>
      </w:tr>
      <w:tr w:rsidR="00D016FE" w:rsidRPr="00D016FE" w:rsidTr="00D016FE">
        <w:trPr>
          <w:tblCellSpacing w:w="15" w:type="dxa"/>
          <w:jc w:val="center"/>
        </w:trPr>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1. Apply control structures</w:t>
            </w:r>
            <w:r w:rsidRPr="00D016FE">
              <w:rPr>
                <w:rFonts w:ascii="Arial" w:eastAsia="Times New Roman" w:hAnsi="Arial" w:cs="Arial"/>
                <w:color w:val="000000"/>
                <w:sz w:val="23"/>
                <w:szCs w:val="23"/>
              </w:rPr>
              <w:br/>
              <w:t>2. Apply top-down algorithmic design.</w:t>
            </w:r>
            <w:r w:rsidRPr="00D016FE">
              <w:rPr>
                <w:rFonts w:ascii="Arial" w:eastAsia="Times New Roman" w:hAnsi="Arial" w:cs="Arial"/>
                <w:color w:val="000000"/>
                <w:sz w:val="23"/>
                <w:szCs w:val="23"/>
              </w:rPr>
              <w:br/>
              <w:t>3. Implement algorithmic solutions in a programming language.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Take One Set:</w:t>
            </w:r>
            <w:r w:rsidRPr="00D016FE">
              <w:rPr>
                <w:rFonts w:ascii="Arial" w:eastAsia="Times New Roman" w:hAnsi="Arial" w:cs="Arial"/>
                <w:color w:val="000000"/>
                <w:sz w:val="23"/>
                <w:szCs w:val="23"/>
              </w:rPr>
              <w:br/>
              <w:t>Set 1: DMA-010, DMA-020, DMA-030, and DMA-040</w:t>
            </w:r>
            <w:r w:rsidRPr="00D016FE">
              <w:rPr>
                <w:rFonts w:ascii="Arial" w:eastAsia="Times New Roman" w:hAnsi="Arial" w:cs="Arial"/>
                <w:color w:val="000000"/>
                <w:sz w:val="23"/>
                <w:szCs w:val="23"/>
              </w:rPr>
              <w:br/>
              <w:t>Set 2: DMA-025 and DMA-040</w:t>
            </w:r>
            <w:r w:rsidRPr="00D016FE">
              <w:rPr>
                <w:rFonts w:ascii="Arial" w:eastAsia="Times New Roman" w:hAnsi="Arial" w:cs="Arial"/>
                <w:color w:val="000000"/>
                <w:sz w:val="23"/>
                <w:szCs w:val="23"/>
              </w:rPr>
              <w:br/>
              <w:t>Set 3: MAT-121</w:t>
            </w:r>
            <w:r w:rsidRPr="00D016FE">
              <w:rPr>
                <w:rFonts w:ascii="Arial" w:eastAsia="Times New Roman" w:hAnsi="Arial" w:cs="Arial"/>
                <w:color w:val="000000"/>
                <w:sz w:val="23"/>
                <w:szCs w:val="23"/>
              </w:rPr>
              <w:br/>
              <w:t>Set 4: MAT-171</w:t>
            </w:r>
            <w:r w:rsidRPr="00D016FE">
              <w:rPr>
                <w:rFonts w:ascii="Arial" w:eastAsia="Times New Roman" w:hAnsi="Arial" w:cs="Arial"/>
                <w:color w:val="000000"/>
                <w:sz w:val="23"/>
                <w:szCs w:val="23"/>
              </w:rPr>
              <w:br/>
              <w:t>Set 5: MAT-003</w:t>
            </w:r>
            <w:r w:rsidRPr="00D016FE">
              <w:rPr>
                <w:rFonts w:ascii="Arial" w:eastAsia="Times New Roman" w:hAnsi="Arial" w:cs="Arial"/>
                <w:color w:val="000000"/>
                <w:sz w:val="23"/>
                <w:szCs w:val="23"/>
              </w:rPr>
              <w:br/>
              <w:t>Set 6: BSP-4003</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 xml:space="preserve">State </w:t>
            </w:r>
            <w:proofErr w:type="spellStart"/>
            <w:r w:rsidRPr="00D016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66"/>
        <w:gridCol w:w="2195"/>
      </w:tblGrid>
      <w:tr w:rsidR="00D016FE" w:rsidRPr="00D016FE" w:rsidTr="00D016FE">
        <w:trPr>
          <w:tblCellSpacing w:w="15" w:type="dxa"/>
          <w:jc w:val="center"/>
        </w:trPr>
        <w:tc>
          <w:tcPr>
            <w:tcW w:w="99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has been approved for transfer under the CAA as a general education course in Mathematics (Quantitative).</w:t>
            </w:r>
            <w:r w:rsidRPr="00D016FE">
              <w:rPr>
                <w:rFonts w:ascii="Arial" w:eastAsia="Times New Roman" w:hAnsi="Arial" w:cs="Arial"/>
                <w:color w:val="000000"/>
                <w:sz w:val="23"/>
                <w:szCs w:val="23"/>
              </w:rPr>
              <w:br/>
              <w:t>This course has been approved for transfer under the ICAA as a general education course in Mathematics (Quantitative).</w:t>
            </w:r>
          </w:p>
          <w:p w:rsidR="00D016FE" w:rsidRPr="00D016FE" w:rsidRDefault="00D016FE" w:rsidP="00D016FE">
            <w:pPr>
              <w:spacing w:after="0" w:line="240" w:lineRule="auto"/>
              <w:rPr>
                <w:rFonts w:ascii="Arial" w:eastAsia="Times New Roman" w:hAnsi="Arial" w:cs="Arial"/>
                <w:color w:val="000000"/>
                <w:sz w:val="23"/>
                <w:szCs w:val="23"/>
              </w:rPr>
            </w:pPr>
          </w:p>
        </w:tc>
      </w:tr>
      <w:tr w:rsidR="00D016FE" w:rsidRPr="00D016FE" w:rsidTr="00D016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ACA-122</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ACA-122</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Competencies</w:t>
            </w:r>
          </w:p>
        </w:tc>
      </w:tr>
      <w:tr w:rsidR="00D016FE" w:rsidRPr="00D016FE" w:rsidTr="00D016FE">
        <w:trPr>
          <w:tblCellSpacing w:w="15" w:type="dxa"/>
          <w:jc w:val="center"/>
        </w:trPr>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1. Develop a strategic plan for completing community college academic goals, including certificates, diplomas, and/or associate degrees.</w:t>
            </w:r>
            <w:r w:rsidRPr="00D016FE">
              <w:rPr>
                <w:rFonts w:ascii="Arial" w:eastAsia="Times New Roman" w:hAnsi="Arial" w:cs="Arial"/>
                <w:color w:val="000000"/>
                <w:sz w:val="23"/>
                <w:szCs w:val="23"/>
              </w:rPr>
              <w:br/>
              <w:t>2. Develop a strategic plan for transferring to a university and preparing for a new career.</w:t>
            </w:r>
            <w:r w:rsidRPr="00D016FE">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D016FE">
              <w:rPr>
                <w:rFonts w:ascii="Arial" w:eastAsia="Times New Roman" w:hAnsi="Arial" w:cs="Arial"/>
                <w:color w:val="000000"/>
                <w:sz w:val="23"/>
                <w:szCs w:val="23"/>
              </w:rPr>
              <w:br/>
              <w:t>4. Evaluate learning strategies, including note-taking, test-taking, information processing, time management, and memorization techniques, and identify strategies for improvement.</w:t>
            </w:r>
            <w:r w:rsidRPr="00D016FE">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D016FE">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 xml:space="preserve">State </w:t>
            </w:r>
            <w:proofErr w:type="spellStart"/>
            <w:r w:rsidRPr="00D016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 xml:space="preserve">This course has been approved for transfer under the CAA as a </w:t>
            </w:r>
            <w:proofErr w:type="spellStart"/>
            <w:r w:rsidRPr="00D016FE">
              <w:rPr>
                <w:rFonts w:ascii="Arial" w:eastAsia="Times New Roman" w:hAnsi="Arial" w:cs="Arial"/>
                <w:color w:val="000000"/>
                <w:sz w:val="23"/>
                <w:szCs w:val="23"/>
              </w:rPr>
              <w:t>premajor</w:t>
            </w:r>
            <w:proofErr w:type="spellEnd"/>
            <w:r w:rsidRPr="00D016FE">
              <w:rPr>
                <w:rFonts w:ascii="Arial" w:eastAsia="Times New Roman" w:hAnsi="Arial" w:cs="Arial"/>
                <w:color w:val="000000"/>
                <w:sz w:val="23"/>
                <w:szCs w:val="23"/>
              </w:rPr>
              <w:t xml:space="preserve"> and/or elective course requirement.</w:t>
            </w:r>
            <w:r w:rsidRPr="00D016FE">
              <w:rPr>
                <w:rFonts w:ascii="Arial" w:eastAsia="Times New Roman" w:hAnsi="Arial" w:cs="Arial"/>
                <w:color w:val="000000"/>
                <w:sz w:val="23"/>
                <w:szCs w:val="23"/>
              </w:rPr>
              <w:br/>
              <w:t xml:space="preserve">This course has been approved for transfer under the ICAA as a </w:t>
            </w:r>
            <w:proofErr w:type="spellStart"/>
            <w:r w:rsidRPr="00D016FE">
              <w:rPr>
                <w:rFonts w:ascii="Arial" w:eastAsia="Times New Roman" w:hAnsi="Arial" w:cs="Arial"/>
                <w:color w:val="000000"/>
                <w:sz w:val="23"/>
                <w:szCs w:val="23"/>
              </w:rPr>
              <w:t>premajor</w:t>
            </w:r>
            <w:proofErr w:type="spellEnd"/>
            <w:r w:rsidRPr="00D016FE">
              <w:rPr>
                <w:rFonts w:ascii="Arial" w:eastAsia="Times New Roman" w:hAnsi="Arial" w:cs="Arial"/>
                <w:color w:val="000000"/>
                <w:sz w:val="23"/>
                <w:szCs w:val="23"/>
              </w:rPr>
              <w:t xml:space="preserve"> and/or elective course requirement.</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64097C" w:rsidRDefault="0064097C" w:rsidP="003F2BB0"/>
    <w:sectPr w:rsidR="00640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B0"/>
    <w:rsid w:val="00032FC9"/>
    <w:rsid w:val="000D4204"/>
    <w:rsid w:val="00162C7C"/>
    <w:rsid w:val="00163A61"/>
    <w:rsid w:val="001C6306"/>
    <w:rsid w:val="001F421F"/>
    <w:rsid w:val="003A3B28"/>
    <w:rsid w:val="003F2BB0"/>
    <w:rsid w:val="005E6D5A"/>
    <w:rsid w:val="006367E9"/>
    <w:rsid w:val="0064097C"/>
    <w:rsid w:val="00785558"/>
    <w:rsid w:val="00824D9D"/>
    <w:rsid w:val="00926B1C"/>
    <w:rsid w:val="00C943ED"/>
    <w:rsid w:val="00D016FE"/>
    <w:rsid w:val="00DB5233"/>
    <w:rsid w:val="00E7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2D3C5-6E9D-4CFE-82F3-C0E91424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2908">
      <w:bodyDiv w:val="1"/>
      <w:marLeft w:val="0"/>
      <w:marRight w:val="0"/>
      <w:marTop w:val="0"/>
      <w:marBottom w:val="0"/>
      <w:divBdr>
        <w:top w:val="none" w:sz="0" w:space="0" w:color="auto"/>
        <w:left w:val="none" w:sz="0" w:space="0" w:color="auto"/>
        <w:bottom w:val="none" w:sz="0" w:space="0" w:color="auto"/>
        <w:right w:val="none" w:sz="0" w:space="0" w:color="auto"/>
      </w:divBdr>
    </w:div>
    <w:div w:id="114101928">
      <w:bodyDiv w:val="1"/>
      <w:marLeft w:val="0"/>
      <w:marRight w:val="0"/>
      <w:marTop w:val="0"/>
      <w:marBottom w:val="0"/>
      <w:divBdr>
        <w:top w:val="none" w:sz="0" w:space="0" w:color="auto"/>
        <w:left w:val="none" w:sz="0" w:space="0" w:color="auto"/>
        <w:bottom w:val="none" w:sz="0" w:space="0" w:color="auto"/>
        <w:right w:val="none" w:sz="0" w:space="0" w:color="auto"/>
      </w:divBdr>
    </w:div>
    <w:div w:id="117337836">
      <w:bodyDiv w:val="1"/>
      <w:marLeft w:val="0"/>
      <w:marRight w:val="0"/>
      <w:marTop w:val="0"/>
      <w:marBottom w:val="0"/>
      <w:divBdr>
        <w:top w:val="none" w:sz="0" w:space="0" w:color="auto"/>
        <w:left w:val="none" w:sz="0" w:space="0" w:color="auto"/>
        <w:bottom w:val="none" w:sz="0" w:space="0" w:color="auto"/>
        <w:right w:val="none" w:sz="0" w:space="0" w:color="auto"/>
      </w:divBdr>
    </w:div>
    <w:div w:id="125201191">
      <w:bodyDiv w:val="1"/>
      <w:marLeft w:val="0"/>
      <w:marRight w:val="0"/>
      <w:marTop w:val="0"/>
      <w:marBottom w:val="0"/>
      <w:divBdr>
        <w:top w:val="none" w:sz="0" w:space="0" w:color="auto"/>
        <w:left w:val="none" w:sz="0" w:space="0" w:color="auto"/>
        <w:bottom w:val="none" w:sz="0" w:space="0" w:color="auto"/>
        <w:right w:val="none" w:sz="0" w:space="0" w:color="auto"/>
      </w:divBdr>
    </w:div>
    <w:div w:id="184441680">
      <w:bodyDiv w:val="1"/>
      <w:marLeft w:val="0"/>
      <w:marRight w:val="0"/>
      <w:marTop w:val="0"/>
      <w:marBottom w:val="0"/>
      <w:divBdr>
        <w:top w:val="none" w:sz="0" w:space="0" w:color="auto"/>
        <w:left w:val="none" w:sz="0" w:space="0" w:color="auto"/>
        <w:bottom w:val="none" w:sz="0" w:space="0" w:color="auto"/>
        <w:right w:val="none" w:sz="0" w:space="0" w:color="auto"/>
      </w:divBdr>
    </w:div>
    <w:div w:id="188880068">
      <w:bodyDiv w:val="1"/>
      <w:marLeft w:val="0"/>
      <w:marRight w:val="0"/>
      <w:marTop w:val="0"/>
      <w:marBottom w:val="0"/>
      <w:divBdr>
        <w:top w:val="none" w:sz="0" w:space="0" w:color="auto"/>
        <w:left w:val="none" w:sz="0" w:space="0" w:color="auto"/>
        <w:bottom w:val="none" w:sz="0" w:space="0" w:color="auto"/>
        <w:right w:val="none" w:sz="0" w:space="0" w:color="auto"/>
      </w:divBdr>
    </w:div>
    <w:div w:id="290676899">
      <w:bodyDiv w:val="1"/>
      <w:marLeft w:val="0"/>
      <w:marRight w:val="0"/>
      <w:marTop w:val="0"/>
      <w:marBottom w:val="0"/>
      <w:divBdr>
        <w:top w:val="none" w:sz="0" w:space="0" w:color="auto"/>
        <w:left w:val="none" w:sz="0" w:space="0" w:color="auto"/>
        <w:bottom w:val="none" w:sz="0" w:space="0" w:color="auto"/>
        <w:right w:val="none" w:sz="0" w:space="0" w:color="auto"/>
      </w:divBdr>
    </w:div>
    <w:div w:id="293829347">
      <w:bodyDiv w:val="1"/>
      <w:marLeft w:val="0"/>
      <w:marRight w:val="0"/>
      <w:marTop w:val="0"/>
      <w:marBottom w:val="0"/>
      <w:divBdr>
        <w:top w:val="none" w:sz="0" w:space="0" w:color="auto"/>
        <w:left w:val="none" w:sz="0" w:space="0" w:color="auto"/>
        <w:bottom w:val="none" w:sz="0" w:space="0" w:color="auto"/>
        <w:right w:val="none" w:sz="0" w:space="0" w:color="auto"/>
      </w:divBdr>
    </w:div>
    <w:div w:id="427775101">
      <w:bodyDiv w:val="1"/>
      <w:marLeft w:val="0"/>
      <w:marRight w:val="0"/>
      <w:marTop w:val="0"/>
      <w:marBottom w:val="0"/>
      <w:divBdr>
        <w:top w:val="none" w:sz="0" w:space="0" w:color="auto"/>
        <w:left w:val="none" w:sz="0" w:space="0" w:color="auto"/>
        <w:bottom w:val="none" w:sz="0" w:space="0" w:color="auto"/>
        <w:right w:val="none" w:sz="0" w:space="0" w:color="auto"/>
      </w:divBdr>
    </w:div>
    <w:div w:id="428887100">
      <w:bodyDiv w:val="1"/>
      <w:marLeft w:val="0"/>
      <w:marRight w:val="0"/>
      <w:marTop w:val="0"/>
      <w:marBottom w:val="0"/>
      <w:divBdr>
        <w:top w:val="none" w:sz="0" w:space="0" w:color="auto"/>
        <w:left w:val="none" w:sz="0" w:space="0" w:color="auto"/>
        <w:bottom w:val="none" w:sz="0" w:space="0" w:color="auto"/>
        <w:right w:val="none" w:sz="0" w:space="0" w:color="auto"/>
      </w:divBdr>
    </w:div>
    <w:div w:id="429282731">
      <w:bodyDiv w:val="1"/>
      <w:marLeft w:val="0"/>
      <w:marRight w:val="0"/>
      <w:marTop w:val="0"/>
      <w:marBottom w:val="0"/>
      <w:divBdr>
        <w:top w:val="none" w:sz="0" w:space="0" w:color="auto"/>
        <w:left w:val="none" w:sz="0" w:space="0" w:color="auto"/>
        <w:bottom w:val="none" w:sz="0" w:space="0" w:color="auto"/>
        <w:right w:val="none" w:sz="0" w:space="0" w:color="auto"/>
      </w:divBdr>
    </w:div>
    <w:div w:id="514730874">
      <w:bodyDiv w:val="1"/>
      <w:marLeft w:val="0"/>
      <w:marRight w:val="0"/>
      <w:marTop w:val="0"/>
      <w:marBottom w:val="0"/>
      <w:divBdr>
        <w:top w:val="none" w:sz="0" w:space="0" w:color="auto"/>
        <w:left w:val="none" w:sz="0" w:space="0" w:color="auto"/>
        <w:bottom w:val="none" w:sz="0" w:space="0" w:color="auto"/>
        <w:right w:val="none" w:sz="0" w:space="0" w:color="auto"/>
      </w:divBdr>
    </w:div>
    <w:div w:id="528183663">
      <w:bodyDiv w:val="1"/>
      <w:marLeft w:val="0"/>
      <w:marRight w:val="0"/>
      <w:marTop w:val="0"/>
      <w:marBottom w:val="0"/>
      <w:divBdr>
        <w:top w:val="none" w:sz="0" w:space="0" w:color="auto"/>
        <w:left w:val="none" w:sz="0" w:space="0" w:color="auto"/>
        <w:bottom w:val="none" w:sz="0" w:space="0" w:color="auto"/>
        <w:right w:val="none" w:sz="0" w:space="0" w:color="auto"/>
      </w:divBdr>
    </w:div>
    <w:div w:id="595137277">
      <w:bodyDiv w:val="1"/>
      <w:marLeft w:val="0"/>
      <w:marRight w:val="0"/>
      <w:marTop w:val="0"/>
      <w:marBottom w:val="0"/>
      <w:divBdr>
        <w:top w:val="none" w:sz="0" w:space="0" w:color="auto"/>
        <w:left w:val="none" w:sz="0" w:space="0" w:color="auto"/>
        <w:bottom w:val="none" w:sz="0" w:space="0" w:color="auto"/>
        <w:right w:val="none" w:sz="0" w:space="0" w:color="auto"/>
      </w:divBdr>
    </w:div>
    <w:div w:id="603534199">
      <w:bodyDiv w:val="1"/>
      <w:marLeft w:val="0"/>
      <w:marRight w:val="0"/>
      <w:marTop w:val="0"/>
      <w:marBottom w:val="0"/>
      <w:divBdr>
        <w:top w:val="none" w:sz="0" w:space="0" w:color="auto"/>
        <w:left w:val="none" w:sz="0" w:space="0" w:color="auto"/>
        <w:bottom w:val="none" w:sz="0" w:space="0" w:color="auto"/>
        <w:right w:val="none" w:sz="0" w:space="0" w:color="auto"/>
      </w:divBdr>
    </w:div>
    <w:div w:id="825978037">
      <w:bodyDiv w:val="1"/>
      <w:marLeft w:val="0"/>
      <w:marRight w:val="0"/>
      <w:marTop w:val="0"/>
      <w:marBottom w:val="0"/>
      <w:divBdr>
        <w:top w:val="none" w:sz="0" w:space="0" w:color="auto"/>
        <w:left w:val="none" w:sz="0" w:space="0" w:color="auto"/>
        <w:bottom w:val="none" w:sz="0" w:space="0" w:color="auto"/>
        <w:right w:val="none" w:sz="0" w:space="0" w:color="auto"/>
      </w:divBdr>
    </w:div>
    <w:div w:id="962229532">
      <w:bodyDiv w:val="1"/>
      <w:marLeft w:val="0"/>
      <w:marRight w:val="0"/>
      <w:marTop w:val="0"/>
      <w:marBottom w:val="0"/>
      <w:divBdr>
        <w:top w:val="none" w:sz="0" w:space="0" w:color="auto"/>
        <w:left w:val="none" w:sz="0" w:space="0" w:color="auto"/>
        <w:bottom w:val="none" w:sz="0" w:space="0" w:color="auto"/>
        <w:right w:val="none" w:sz="0" w:space="0" w:color="auto"/>
      </w:divBdr>
    </w:div>
    <w:div w:id="985008134">
      <w:bodyDiv w:val="1"/>
      <w:marLeft w:val="0"/>
      <w:marRight w:val="0"/>
      <w:marTop w:val="0"/>
      <w:marBottom w:val="0"/>
      <w:divBdr>
        <w:top w:val="none" w:sz="0" w:space="0" w:color="auto"/>
        <w:left w:val="none" w:sz="0" w:space="0" w:color="auto"/>
        <w:bottom w:val="none" w:sz="0" w:space="0" w:color="auto"/>
        <w:right w:val="none" w:sz="0" w:space="0" w:color="auto"/>
      </w:divBdr>
    </w:div>
    <w:div w:id="1051268807">
      <w:bodyDiv w:val="1"/>
      <w:marLeft w:val="0"/>
      <w:marRight w:val="0"/>
      <w:marTop w:val="0"/>
      <w:marBottom w:val="0"/>
      <w:divBdr>
        <w:top w:val="none" w:sz="0" w:space="0" w:color="auto"/>
        <w:left w:val="none" w:sz="0" w:space="0" w:color="auto"/>
        <w:bottom w:val="none" w:sz="0" w:space="0" w:color="auto"/>
        <w:right w:val="none" w:sz="0" w:space="0" w:color="auto"/>
      </w:divBdr>
    </w:div>
    <w:div w:id="1110852698">
      <w:bodyDiv w:val="1"/>
      <w:marLeft w:val="0"/>
      <w:marRight w:val="0"/>
      <w:marTop w:val="0"/>
      <w:marBottom w:val="0"/>
      <w:divBdr>
        <w:top w:val="none" w:sz="0" w:space="0" w:color="auto"/>
        <w:left w:val="none" w:sz="0" w:space="0" w:color="auto"/>
        <w:bottom w:val="none" w:sz="0" w:space="0" w:color="auto"/>
        <w:right w:val="none" w:sz="0" w:space="0" w:color="auto"/>
      </w:divBdr>
    </w:div>
    <w:div w:id="1127743508">
      <w:bodyDiv w:val="1"/>
      <w:marLeft w:val="0"/>
      <w:marRight w:val="0"/>
      <w:marTop w:val="0"/>
      <w:marBottom w:val="0"/>
      <w:divBdr>
        <w:top w:val="none" w:sz="0" w:space="0" w:color="auto"/>
        <w:left w:val="none" w:sz="0" w:space="0" w:color="auto"/>
        <w:bottom w:val="none" w:sz="0" w:space="0" w:color="auto"/>
        <w:right w:val="none" w:sz="0" w:space="0" w:color="auto"/>
      </w:divBdr>
    </w:div>
    <w:div w:id="1148013262">
      <w:bodyDiv w:val="1"/>
      <w:marLeft w:val="0"/>
      <w:marRight w:val="0"/>
      <w:marTop w:val="0"/>
      <w:marBottom w:val="0"/>
      <w:divBdr>
        <w:top w:val="none" w:sz="0" w:space="0" w:color="auto"/>
        <w:left w:val="none" w:sz="0" w:space="0" w:color="auto"/>
        <w:bottom w:val="none" w:sz="0" w:space="0" w:color="auto"/>
        <w:right w:val="none" w:sz="0" w:space="0" w:color="auto"/>
      </w:divBdr>
    </w:div>
    <w:div w:id="1227493718">
      <w:bodyDiv w:val="1"/>
      <w:marLeft w:val="0"/>
      <w:marRight w:val="0"/>
      <w:marTop w:val="0"/>
      <w:marBottom w:val="0"/>
      <w:divBdr>
        <w:top w:val="none" w:sz="0" w:space="0" w:color="auto"/>
        <w:left w:val="none" w:sz="0" w:space="0" w:color="auto"/>
        <w:bottom w:val="none" w:sz="0" w:space="0" w:color="auto"/>
        <w:right w:val="none" w:sz="0" w:space="0" w:color="auto"/>
      </w:divBdr>
    </w:div>
    <w:div w:id="1230921358">
      <w:bodyDiv w:val="1"/>
      <w:marLeft w:val="0"/>
      <w:marRight w:val="0"/>
      <w:marTop w:val="0"/>
      <w:marBottom w:val="0"/>
      <w:divBdr>
        <w:top w:val="none" w:sz="0" w:space="0" w:color="auto"/>
        <w:left w:val="none" w:sz="0" w:space="0" w:color="auto"/>
        <w:bottom w:val="none" w:sz="0" w:space="0" w:color="auto"/>
        <w:right w:val="none" w:sz="0" w:space="0" w:color="auto"/>
      </w:divBdr>
    </w:div>
    <w:div w:id="1242448344">
      <w:bodyDiv w:val="1"/>
      <w:marLeft w:val="0"/>
      <w:marRight w:val="0"/>
      <w:marTop w:val="0"/>
      <w:marBottom w:val="0"/>
      <w:divBdr>
        <w:top w:val="none" w:sz="0" w:space="0" w:color="auto"/>
        <w:left w:val="none" w:sz="0" w:space="0" w:color="auto"/>
        <w:bottom w:val="none" w:sz="0" w:space="0" w:color="auto"/>
        <w:right w:val="none" w:sz="0" w:space="0" w:color="auto"/>
      </w:divBdr>
    </w:div>
    <w:div w:id="1269777775">
      <w:bodyDiv w:val="1"/>
      <w:marLeft w:val="0"/>
      <w:marRight w:val="0"/>
      <w:marTop w:val="0"/>
      <w:marBottom w:val="0"/>
      <w:divBdr>
        <w:top w:val="none" w:sz="0" w:space="0" w:color="auto"/>
        <w:left w:val="none" w:sz="0" w:space="0" w:color="auto"/>
        <w:bottom w:val="none" w:sz="0" w:space="0" w:color="auto"/>
        <w:right w:val="none" w:sz="0" w:space="0" w:color="auto"/>
      </w:divBdr>
    </w:div>
    <w:div w:id="1333071332">
      <w:bodyDiv w:val="1"/>
      <w:marLeft w:val="0"/>
      <w:marRight w:val="0"/>
      <w:marTop w:val="0"/>
      <w:marBottom w:val="0"/>
      <w:divBdr>
        <w:top w:val="none" w:sz="0" w:space="0" w:color="auto"/>
        <w:left w:val="none" w:sz="0" w:space="0" w:color="auto"/>
        <w:bottom w:val="none" w:sz="0" w:space="0" w:color="auto"/>
        <w:right w:val="none" w:sz="0" w:space="0" w:color="auto"/>
      </w:divBdr>
    </w:div>
    <w:div w:id="1351954022">
      <w:bodyDiv w:val="1"/>
      <w:marLeft w:val="0"/>
      <w:marRight w:val="0"/>
      <w:marTop w:val="0"/>
      <w:marBottom w:val="0"/>
      <w:divBdr>
        <w:top w:val="none" w:sz="0" w:space="0" w:color="auto"/>
        <w:left w:val="none" w:sz="0" w:space="0" w:color="auto"/>
        <w:bottom w:val="none" w:sz="0" w:space="0" w:color="auto"/>
        <w:right w:val="none" w:sz="0" w:space="0" w:color="auto"/>
      </w:divBdr>
    </w:div>
    <w:div w:id="1373773178">
      <w:bodyDiv w:val="1"/>
      <w:marLeft w:val="0"/>
      <w:marRight w:val="0"/>
      <w:marTop w:val="0"/>
      <w:marBottom w:val="0"/>
      <w:divBdr>
        <w:top w:val="none" w:sz="0" w:space="0" w:color="auto"/>
        <w:left w:val="none" w:sz="0" w:space="0" w:color="auto"/>
        <w:bottom w:val="none" w:sz="0" w:space="0" w:color="auto"/>
        <w:right w:val="none" w:sz="0" w:space="0" w:color="auto"/>
      </w:divBdr>
    </w:div>
    <w:div w:id="1393309501">
      <w:bodyDiv w:val="1"/>
      <w:marLeft w:val="0"/>
      <w:marRight w:val="0"/>
      <w:marTop w:val="0"/>
      <w:marBottom w:val="0"/>
      <w:divBdr>
        <w:top w:val="none" w:sz="0" w:space="0" w:color="auto"/>
        <w:left w:val="none" w:sz="0" w:space="0" w:color="auto"/>
        <w:bottom w:val="none" w:sz="0" w:space="0" w:color="auto"/>
        <w:right w:val="none" w:sz="0" w:space="0" w:color="auto"/>
      </w:divBdr>
    </w:div>
    <w:div w:id="1397707734">
      <w:bodyDiv w:val="1"/>
      <w:marLeft w:val="0"/>
      <w:marRight w:val="0"/>
      <w:marTop w:val="0"/>
      <w:marBottom w:val="0"/>
      <w:divBdr>
        <w:top w:val="none" w:sz="0" w:space="0" w:color="auto"/>
        <w:left w:val="none" w:sz="0" w:space="0" w:color="auto"/>
        <w:bottom w:val="none" w:sz="0" w:space="0" w:color="auto"/>
        <w:right w:val="none" w:sz="0" w:space="0" w:color="auto"/>
      </w:divBdr>
    </w:div>
    <w:div w:id="1457289799">
      <w:bodyDiv w:val="1"/>
      <w:marLeft w:val="0"/>
      <w:marRight w:val="0"/>
      <w:marTop w:val="0"/>
      <w:marBottom w:val="0"/>
      <w:divBdr>
        <w:top w:val="none" w:sz="0" w:space="0" w:color="auto"/>
        <w:left w:val="none" w:sz="0" w:space="0" w:color="auto"/>
        <w:bottom w:val="none" w:sz="0" w:space="0" w:color="auto"/>
        <w:right w:val="none" w:sz="0" w:space="0" w:color="auto"/>
      </w:divBdr>
    </w:div>
    <w:div w:id="1477448584">
      <w:bodyDiv w:val="1"/>
      <w:marLeft w:val="0"/>
      <w:marRight w:val="0"/>
      <w:marTop w:val="0"/>
      <w:marBottom w:val="0"/>
      <w:divBdr>
        <w:top w:val="none" w:sz="0" w:space="0" w:color="auto"/>
        <w:left w:val="none" w:sz="0" w:space="0" w:color="auto"/>
        <w:bottom w:val="none" w:sz="0" w:space="0" w:color="auto"/>
        <w:right w:val="none" w:sz="0" w:space="0" w:color="auto"/>
      </w:divBdr>
    </w:div>
    <w:div w:id="1513108572">
      <w:bodyDiv w:val="1"/>
      <w:marLeft w:val="0"/>
      <w:marRight w:val="0"/>
      <w:marTop w:val="0"/>
      <w:marBottom w:val="0"/>
      <w:divBdr>
        <w:top w:val="none" w:sz="0" w:space="0" w:color="auto"/>
        <w:left w:val="none" w:sz="0" w:space="0" w:color="auto"/>
        <w:bottom w:val="none" w:sz="0" w:space="0" w:color="auto"/>
        <w:right w:val="none" w:sz="0" w:space="0" w:color="auto"/>
      </w:divBdr>
    </w:div>
    <w:div w:id="1538158184">
      <w:bodyDiv w:val="1"/>
      <w:marLeft w:val="0"/>
      <w:marRight w:val="0"/>
      <w:marTop w:val="0"/>
      <w:marBottom w:val="0"/>
      <w:divBdr>
        <w:top w:val="none" w:sz="0" w:space="0" w:color="auto"/>
        <w:left w:val="none" w:sz="0" w:space="0" w:color="auto"/>
        <w:bottom w:val="none" w:sz="0" w:space="0" w:color="auto"/>
        <w:right w:val="none" w:sz="0" w:space="0" w:color="auto"/>
      </w:divBdr>
    </w:div>
    <w:div w:id="1558663647">
      <w:bodyDiv w:val="1"/>
      <w:marLeft w:val="0"/>
      <w:marRight w:val="0"/>
      <w:marTop w:val="0"/>
      <w:marBottom w:val="0"/>
      <w:divBdr>
        <w:top w:val="none" w:sz="0" w:space="0" w:color="auto"/>
        <w:left w:val="none" w:sz="0" w:space="0" w:color="auto"/>
        <w:bottom w:val="none" w:sz="0" w:space="0" w:color="auto"/>
        <w:right w:val="none" w:sz="0" w:space="0" w:color="auto"/>
      </w:divBdr>
    </w:div>
    <w:div w:id="1572498970">
      <w:bodyDiv w:val="1"/>
      <w:marLeft w:val="0"/>
      <w:marRight w:val="0"/>
      <w:marTop w:val="0"/>
      <w:marBottom w:val="0"/>
      <w:divBdr>
        <w:top w:val="none" w:sz="0" w:space="0" w:color="auto"/>
        <w:left w:val="none" w:sz="0" w:space="0" w:color="auto"/>
        <w:bottom w:val="none" w:sz="0" w:space="0" w:color="auto"/>
        <w:right w:val="none" w:sz="0" w:space="0" w:color="auto"/>
      </w:divBdr>
    </w:div>
    <w:div w:id="1599365790">
      <w:bodyDiv w:val="1"/>
      <w:marLeft w:val="0"/>
      <w:marRight w:val="0"/>
      <w:marTop w:val="0"/>
      <w:marBottom w:val="0"/>
      <w:divBdr>
        <w:top w:val="none" w:sz="0" w:space="0" w:color="auto"/>
        <w:left w:val="none" w:sz="0" w:space="0" w:color="auto"/>
        <w:bottom w:val="none" w:sz="0" w:space="0" w:color="auto"/>
        <w:right w:val="none" w:sz="0" w:space="0" w:color="auto"/>
      </w:divBdr>
    </w:div>
    <w:div w:id="1806239449">
      <w:bodyDiv w:val="1"/>
      <w:marLeft w:val="0"/>
      <w:marRight w:val="0"/>
      <w:marTop w:val="0"/>
      <w:marBottom w:val="0"/>
      <w:divBdr>
        <w:top w:val="none" w:sz="0" w:space="0" w:color="auto"/>
        <w:left w:val="none" w:sz="0" w:space="0" w:color="auto"/>
        <w:bottom w:val="none" w:sz="0" w:space="0" w:color="auto"/>
        <w:right w:val="none" w:sz="0" w:space="0" w:color="auto"/>
      </w:divBdr>
    </w:div>
    <w:div w:id="1863132447">
      <w:bodyDiv w:val="1"/>
      <w:marLeft w:val="0"/>
      <w:marRight w:val="0"/>
      <w:marTop w:val="0"/>
      <w:marBottom w:val="0"/>
      <w:divBdr>
        <w:top w:val="none" w:sz="0" w:space="0" w:color="auto"/>
        <w:left w:val="none" w:sz="0" w:space="0" w:color="auto"/>
        <w:bottom w:val="none" w:sz="0" w:space="0" w:color="auto"/>
        <w:right w:val="none" w:sz="0" w:space="0" w:color="auto"/>
      </w:divBdr>
    </w:div>
    <w:div w:id="1919822575">
      <w:bodyDiv w:val="1"/>
      <w:marLeft w:val="0"/>
      <w:marRight w:val="0"/>
      <w:marTop w:val="0"/>
      <w:marBottom w:val="0"/>
      <w:divBdr>
        <w:top w:val="none" w:sz="0" w:space="0" w:color="auto"/>
        <w:left w:val="none" w:sz="0" w:space="0" w:color="auto"/>
        <w:bottom w:val="none" w:sz="0" w:space="0" w:color="auto"/>
        <w:right w:val="none" w:sz="0" w:space="0" w:color="auto"/>
      </w:divBdr>
    </w:div>
    <w:div w:id="1938558937">
      <w:bodyDiv w:val="1"/>
      <w:marLeft w:val="0"/>
      <w:marRight w:val="0"/>
      <w:marTop w:val="0"/>
      <w:marBottom w:val="0"/>
      <w:divBdr>
        <w:top w:val="none" w:sz="0" w:space="0" w:color="auto"/>
        <w:left w:val="none" w:sz="0" w:space="0" w:color="auto"/>
        <w:bottom w:val="none" w:sz="0" w:space="0" w:color="auto"/>
        <w:right w:val="none" w:sz="0" w:space="0" w:color="auto"/>
      </w:divBdr>
    </w:div>
    <w:div w:id="1968970791">
      <w:bodyDiv w:val="1"/>
      <w:marLeft w:val="0"/>
      <w:marRight w:val="0"/>
      <w:marTop w:val="0"/>
      <w:marBottom w:val="0"/>
      <w:divBdr>
        <w:top w:val="none" w:sz="0" w:space="0" w:color="auto"/>
        <w:left w:val="none" w:sz="0" w:space="0" w:color="auto"/>
        <w:bottom w:val="none" w:sz="0" w:space="0" w:color="auto"/>
        <w:right w:val="none" w:sz="0" w:space="0" w:color="auto"/>
      </w:divBdr>
    </w:div>
    <w:div w:id="2016833638">
      <w:bodyDiv w:val="1"/>
      <w:marLeft w:val="0"/>
      <w:marRight w:val="0"/>
      <w:marTop w:val="0"/>
      <w:marBottom w:val="0"/>
      <w:divBdr>
        <w:top w:val="none" w:sz="0" w:space="0" w:color="auto"/>
        <w:left w:val="none" w:sz="0" w:space="0" w:color="auto"/>
        <w:bottom w:val="none" w:sz="0" w:space="0" w:color="auto"/>
        <w:right w:val="none" w:sz="0" w:space="0" w:color="auto"/>
      </w:divBdr>
    </w:div>
    <w:div w:id="2054041477">
      <w:bodyDiv w:val="1"/>
      <w:marLeft w:val="0"/>
      <w:marRight w:val="0"/>
      <w:marTop w:val="0"/>
      <w:marBottom w:val="0"/>
      <w:divBdr>
        <w:top w:val="none" w:sz="0" w:space="0" w:color="auto"/>
        <w:left w:val="none" w:sz="0" w:space="0" w:color="auto"/>
        <w:bottom w:val="none" w:sz="0" w:space="0" w:color="auto"/>
        <w:right w:val="none" w:sz="0" w:space="0" w:color="auto"/>
      </w:divBdr>
    </w:div>
    <w:div w:id="2057001708">
      <w:bodyDiv w:val="1"/>
      <w:marLeft w:val="0"/>
      <w:marRight w:val="0"/>
      <w:marTop w:val="0"/>
      <w:marBottom w:val="0"/>
      <w:divBdr>
        <w:top w:val="none" w:sz="0" w:space="0" w:color="auto"/>
        <w:left w:val="none" w:sz="0" w:space="0" w:color="auto"/>
        <w:bottom w:val="none" w:sz="0" w:space="0" w:color="auto"/>
        <w:right w:val="none" w:sz="0" w:space="0" w:color="auto"/>
      </w:divBdr>
    </w:div>
    <w:div w:id="2087068820">
      <w:bodyDiv w:val="1"/>
      <w:marLeft w:val="0"/>
      <w:marRight w:val="0"/>
      <w:marTop w:val="0"/>
      <w:marBottom w:val="0"/>
      <w:divBdr>
        <w:top w:val="none" w:sz="0" w:space="0" w:color="auto"/>
        <w:left w:val="none" w:sz="0" w:space="0" w:color="auto"/>
        <w:bottom w:val="none" w:sz="0" w:space="0" w:color="auto"/>
        <w:right w:val="none" w:sz="0" w:space="0" w:color="auto"/>
      </w:divBdr>
    </w:div>
    <w:div w:id="2090736382">
      <w:bodyDiv w:val="1"/>
      <w:marLeft w:val="0"/>
      <w:marRight w:val="0"/>
      <w:marTop w:val="0"/>
      <w:marBottom w:val="0"/>
      <w:divBdr>
        <w:top w:val="none" w:sz="0" w:space="0" w:color="auto"/>
        <w:left w:val="none" w:sz="0" w:space="0" w:color="auto"/>
        <w:bottom w:val="none" w:sz="0" w:space="0" w:color="auto"/>
        <w:right w:val="none" w:sz="0" w:space="0" w:color="auto"/>
      </w:divBdr>
    </w:div>
    <w:div w:id="209682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6334</Words>
  <Characters>36105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2</cp:revision>
  <cp:lastPrinted>2020-05-28T19:25:00Z</cp:lastPrinted>
  <dcterms:created xsi:type="dcterms:W3CDTF">2020-05-28T19:26:00Z</dcterms:created>
  <dcterms:modified xsi:type="dcterms:W3CDTF">2020-05-28T19:26:00Z</dcterms:modified>
</cp:coreProperties>
</file>