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Pr="00A429BE" w:rsidRDefault="00A429BE" w:rsidP="00A429BE">
      <w:pPr>
        <w:jc w:val="center"/>
        <w:rPr>
          <w:b/>
          <w:sz w:val="28"/>
          <w:szCs w:val="28"/>
        </w:rPr>
      </w:pPr>
      <w:r w:rsidRPr="00A429BE">
        <w:rPr>
          <w:b/>
          <w:sz w:val="28"/>
          <w:szCs w:val="28"/>
        </w:rPr>
        <w:t>Criminal Justice Technology (A55180)</w:t>
      </w:r>
    </w:p>
    <w:p w:rsidR="00A429BE" w:rsidRDefault="00A429BE" w:rsidP="00A429BE">
      <w:pPr>
        <w:jc w:val="center"/>
        <w:rPr>
          <w:b/>
          <w:sz w:val="28"/>
          <w:szCs w:val="28"/>
        </w:rPr>
      </w:pPr>
      <w:r w:rsidRPr="00A429BE">
        <w:rPr>
          <w:b/>
          <w:sz w:val="28"/>
          <w:szCs w:val="28"/>
        </w:rPr>
        <w:t>Associate in Applied Science</w:t>
      </w:r>
    </w:p>
    <w:p w:rsidR="00A429BE" w:rsidRDefault="00A429BE" w:rsidP="00A429BE">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6"/>
        <w:gridCol w:w="5227"/>
        <w:gridCol w:w="2067"/>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ACA-111</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ACA-111</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State </w:t>
            </w:r>
            <w:proofErr w:type="spellStart"/>
            <w:r w:rsidRPr="00A429B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A429BE" w:rsidRDefault="00A429BE" w:rsidP="00A429BE">
      <w:pPr>
        <w:rPr>
          <w:b/>
          <w:sz w:val="24"/>
          <w:szCs w:val="24"/>
        </w:rPr>
      </w:pPr>
    </w:p>
    <w:p w:rsidR="00A429BE" w:rsidRDefault="00A429BE" w:rsidP="00A429BE">
      <w:pP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277"/>
        <w:gridCol w:w="2042"/>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ACA-122</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Competencies</w:t>
            </w:r>
          </w:p>
        </w:tc>
      </w:tr>
      <w:tr w:rsidR="00A429BE" w:rsidRPr="00A429BE" w:rsidTr="00A429BE">
        <w:trPr>
          <w:tblCellSpacing w:w="15" w:type="dxa"/>
          <w:jc w:val="center"/>
        </w:trPr>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1. Develop a strategic plan for completing community college academic goals, including certificates, diplomas, and/or associate degrees.</w:t>
            </w:r>
            <w:r w:rsidRPr="00A429BE">
              <w:rPr>
                <w:rFonts w:ascii="Arial" w:eastAsia="Times New Roman" w:hAnsi="Arial" w:cs="Arial"/>
                <w:color w:val="000000"/>
                <w:sz w:val="23"/>
                <w:szCs w:val="23"/>
              </w:rPr>
              <w:br/>
              <w:t>2. Develop a strategic plan for transferring to a university and preparing for a new career.</w:t>
            </w:r>
            <w:r w:rsidRPr="00A429BE">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A429BE">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A429BE">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A429BE">
              <w:rPr>
                <w:rFonts w:ascii="Arial" w:eastAsia="Times New Roman" w:hAnsi="Arial" w:cs="Arial"/>
                <w:color w:val="000000"/>
                <w:sz w:val="23"/>
                <w:szCs w:val="23"/>
              </w:rPr>
              <w:br/>
              <w:t xml:space="preserve">6. Identify essential college policies and procedures, including academic integrity such as </w:t>
            </w:r>
            <w:r w:rsidRPr="00A429BE">
              <w:rPr>
                <w:rFonts w:ascii="Arial" w:eastAsia="Times New Roman" w:hAnsi="Arial" w:cs="Arial"/>
                <w:color w:val="000000"/>
                <w:sz w:val="23"/>
                <w:szCs w:val="23"/>
              </w:rPr>
              <w:lastRenderedPageBreak/>
              <w:t>avoiding plagiarism; calculating a GPA, and maintaining satisfactory academic progress for financial aid eligibility and/or good academic standing.</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74"/>
        <w:gridCol w:w="1887"/>
      </w:tblGrid>
      <w:tr w:rsidR="00A429BE" w:rsidRPr="00A429BE" w:rsidTr="00A429BE">
        <w:trPr>
          <w:tblCellSpacing w:w="15" w:type="dxa"/>
          <w:jc w:val="center"/>
        </w:trPr>
        <w:tc>
          <w:tcPr>
            <w:tcW w:w="99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State </w:t>
            </w:r>
            <w:proofErr w:type="spellStart"/>
            <w:r w:rsidRPr="00A429BE">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r w:rsidR="00A429BE" w:rsidRPr="00A429BE" w:rsidTr="00A429B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CIS-110</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provides an introduction to computers and computing. Topics include the impact of computers on society, ethical issues, and hardware/software applications, including spreadsheets, databases, word processors, graphics, the Internet, and operating systems. Upon completion, students should be able to demonstrate an understanding of the role and function of computers and use the computer to solve problems. This course has been approved to satisfy the Comprehensive Articulation Agreement general education core requirement in natural sciences/mathematics (quantitative option).</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State </w:t>
            </w:r>
            <w:proofErr w:type="spellStart"/>
            <w:r w:rsidRPr="00A429B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68"/>
        <w:gridCol w:w="2593"/>
      </w:tblGrid>
      <w:tr w:rsidR="00A429BE" w:rsidRPr="00A429BE" w:rsidTr="00A429BE">
        <w:trPr>
          <w:tblCellSpacing w:w="15" w:type="dxa"/>
          <w:jc w:val="center"/>
        </w:trPr>
        <w:tc>
          <w:tcPr>
            <w:tcW w:w="99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has been approved for transfer under the CAA as a general education course in Mathematics (Quantitative).</w:t>
            </w:r>
            <w:r w:rsidRPr="00A429BE">
              <w:rPr>
                <w:rFonts w:ascii="Arial" w:eastAsia="Times New Roman" w:hAnsi="Arial" w:cs="Arial"/>
                <w:color w:val="000000"/>
                <w:sz w:val="23"/>
                <w:szCs w:val="23"/>
              </w:rPr>
              <w:br/>
              <w:t>This course has been approved for transfer under the ICAA as a general education course in Mathematics (Quantitative).</w:t>
            </w:r>
          </w:p>
        </w:tc>
      </w:tr>
      <w:tr w:rsidR="00A429BE" w:rsidRPr="00A429BE" w:rsidTr="00A429B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A429BE" w:rsidRPr="00A429BE" w:rsidRDefault="00A429BE" w:rsidP="001F21E2">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ENG-111</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This course is designed to develop the ability to produce clear writing in a variety of genres and formats using a recursive process. Emphasis includes inquiry, analysis, </w:t>
            </w:r>
            <w:proofErr w:type="gramStart"/>
            <w:r w:rsidRPr="00A429BE">
              <w:rPr>
                <w:rFonts w:ascii="Arial" w:eastAsia="Times New Roman" w:hAnsi="Arial" w:cs="Arial"/>
                <w:color w:val="000000"/>
                <w:sz w:val="23"/>
                <w:szCs w:val="23"/>
              </w:rPr>
              <w:t>effective</w:t>
            </w:r>
            <w:proofErr w:type="gramEnd"/>
            <w:r w:rsidRPr="00A429BE">
              <w:rPr>
                <w:rFonts w:ascii="Arial" w:eastAsia="Times New Roman" w:hAnsi="Arial" w:cs="Arial"/>
                <w:color w:val="000000"/>
                <w:sz w:val="23"/>
                <w:szCs w:val="23"/>
              </w:rPr>
              <w:t xml:space="preserve"> use of rhetorical strategies, thesis development, audience awareness, and revision. Upon completion, students should be able to produce unified, coherent, well-developed essays using standard written English.</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Competencies</w:t>
            </w:r>
          </w:p>
        </w:tc>
      </w:tr>
      <w:tr w:rsidR="00A429BE" w:rsidRPr="00A429BE" w:rsidTr="00A429BE">
        <w:trPr>
          <w:tblCellSpacing w:w="15" w:type="dxa"/>
          <w:jc w:val="center"/>
        </w:trPr>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Student Learning Outcomes</w:t>
            </w:r>
            <w:r w:rsidRPr="00A429BE">
              <w:rPr>
                <w:rFonts w:ascii="Arial" w:eastAsia="Times New Roman" w:hAnsi="Arial" w:cs="Arial"/>
                <w:color w:val="000000"/>
                <w:sz w:val="23"/>
                <w:szCs w:val="23"/>
              </w:rPr>
              <w:br/>
              <w:t>1. Demonstrate writing as a recursive process.</w:t>
            </w:r>
            <w:r w:rsidRPr="00A429B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A429BE">
              <w:rPr>
                <w:rFonts w:ascii="Arial" w:eastAsia="Times New Roman" w:hAnsi="Arial" w:cs="Arial"/>
                <w:color w:val="000000"/>
                <w:sz w:val="23"/>
                <w:szCs w:val="23"/>
              </w:rPr>
              <w:br/>
              <w:t>3. Students will reflect upon and explain their writing strategies.</w:t>
            </w:r>
            <w:r w:rsidRPr="00A429BE">
              <w:rPr>
                <w:rFonts w:ascii="Arial" w:eastAsia="Times New Roman" w:hAnsi="Arial" w:cs="Arial"/>
                <w:color w:val="000000"/>
                <w:sz w:val="23"/>
                <w:szCs w:val="23"/>
              </w:rPr>
              <w:br/>
              <w:t>4. Demonstrate the critical use and examination of printed, digital, and visual materials.</w:t>
            </w:r>
            <w:r w:rsidRPr="00A429BE">
              <w:rPr>
                <w:rFonts w:ascii="Arial" w:eastAsia="Times New Roman" w:hAnsi="Arial" w:cs="Arial"/>
                <w:color w:val="000000"/>
                <w:sz w:val="23"/>
                <w:szCs w:val="23"/>
              </w:rPr>
              <w:br/>
              <w:t>5. Locate, evaluate, and incorporate relevant sources with proper documentation.</w:t>
            </w:r>
            <w:r w:rsidRPr="00A429BE">
              <w:rPr>
                <w:rFonts w:ascii="Arial" w:eastAsia="Times New Roman" w:hAnsi="Arial" w:cs="Arial"/>
                <w:color w:val="000000"/>
                <w:sz w:val="23"/>
                <w:szCs w:val="23"/>
              </w:rPr>
              <w:br/>
              <w:t>6. Compose texts incorporating rhetorically effective and conventional use of language.</w:t>
            </w:r>
            <w:r w:rsidRPr="00A429BE">
              <w:rPr>
                <w:rFonts w:ascii="Arial" w:eastAsia="Times New Roman" w:hAnsi="Arial" w:cs="Arial"/>
                <w:color w:val="000000"/>
                <w:sz w:val="23"/>
                <w:szCs w:val="23"/>
              </w:rPr>
              <w:br/>
              <w:t>7. Collaborate actively in a writing community.</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429BE" w:rsidRPr="00A429BE" w:rsidTr="00A429BE">
        <w:trPr>
          <w:tblCellSpacing w:w="15" w:type="dxa"/>
          <w:jc w:val="center"/>
        </w:trPr>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Times New Roman" w:eastAsia="Times New Roman" w:hAnsi="Times New Roman" w:cs="Times New Roman"/>
                <w:sz w:val="24"/>
                <w:szCs w:val="24"/>
              </w:rPr>
            </w:pP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Take One Set:</w:t>
            </w:r>
            <w:r w:rsidRPr="00A429BE">
              <w:rPr>
                <w:rFonts w:ascii="Arial" w:eastAsia="Times New Roman" w:hAnsi="Arial" w:cs="Arial"/>
                <w:color w:val="000000"/>
                <w:sz w:val="23"/>
                <w:szCs w:val="23"/>
              </w:rPr>
              <w:br/>
              <w:t>Set 1: DRE-097</w:t>
            </w:r>
            <w:r w:rsidRPr="00A429BE">
              <w:rPr>
                <w:rFonts w:ascii="Arial" w:eastAsia="Times New Roman" w:hAnsi="Arial" w:cs="Arial"/>
                <w:color w:val="000000"/>
                <w:sz w:val="23"/>
                <w:szCs w:val="23"/>
              </w:rPr>
              <w:br/>
            </w:r>
            <w:r w:rsidRPr="00A429BE">
              <w:rPr>
                <w:rFonts w:ascii="Arial" w:eastAsia="Times New Roman" w:hAnsi="Arial" w:cs="Arial"/>
                <w:color w:val="000000"/>
                <w:sz w:val="23"/>
                <w:szCs w:val="23"/>
              </w:rPr>
              <w:lastRenderedPageBreak/>
              <w:t>Set 2: ENG-002</w:t>
            </w:r>
            <w:r w:rsidRPr="00A429BE">
              <w:rPr>
                <w:rFonts w:ascii="Arial" w:eastAsia="Times New Roman" w:hAnsi="Arial" w:cs="Arial"/>
                <w:color w:val="000000"/>
                <w:sz w:val="23"/>
                <w:szCs w:val="23"/>
              </w:rPr>
              <w:br/>
              <w:t>Set 3: BSP-4002</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429BE" w:rsidRPr="00A429BE" w:rsidTr="00A429BE">
        <w:trPr>
          <w:tblCellSpacing w:w="15" w:type="dxa"/>
          <w:jc w:val="center"/>
        </w:trPr>
        <w:tc>
          <w:tcPr>
            <w:tcW w:w="100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State </w:t>
            </w:r>
            <w:proofErr w:type="spellStart"/>
            <w:r w:rsidRPr="00A429B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Take ENG-011</w:t>
            </w:r>
          </w:p>
        </w:tc>
      </w:tr>
    </w:tbl>
    <w:p w:rsidR="00A429BE" w:rsidRPr="00A429BE" w:rsidRDefault="00A429BE" w:rsidP="00A429B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48"/>
        <w:gridCol w:w="2213"/>
      </w:tblGrid>
      <w:tr w:rsidR="00A429BE" w:rsidRPr="00A429BE" w:rsidTr="001F21E2">
        <w:trPr>
          <w:tblCellSpacing w:w="15" w:type="dxa"/>
          <w:jc w:val="center"/>
        </w:trPr>
        <w:tc>
          <w:tcPr>
            <w:tcW w:w="990" w:type="pct"/>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A429BE" w:rsidRPr="00A429BE" w:rsidRDefault="00A429BE" w:rsidP="00A429BE">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has been approved for transfer under the CAA as a general education course in English Composition.</w:t>
            </w:r>
            <w:r w:rsidRPr="00A429BE">
              <w:rPr>
                <w:rFonts w:ascii="Arial" w:eastAsia="Times New Roman" w:hAnsi="Arial" w:cs="Arial"/>
                <w:color w:val="000000"/>
                <w:sz w:val="23"/>
                <w:szCs w:val="23"/>
              </w:rPr>
              <w:br/>
              <w:t>This course has been approved for transfer under the ICAA as a general education course in English Composition.</w:t>
            </w:r>
          </w:p>
        </w:tc>
      </w:tr>
      <w:tr w:rsidR="001F21E2" w:rsidRPr="001F21E2" w:rsidTr="001F21E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Intro to Criminal Justice</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71"/>
        <w:gridCol w:w="2190"/>
      </w:tblGrid>
      <w:tr w:rsidR="001F21E2" w:rsidRPr="001F21E2" w:rsidTr="001F21E2">
        <w:trPr>
          <w:tblCellSpacing w:w="15" w:type="dxa"/>
          <w:jc w:val="center"/>
        </w:trPr>
        <w:tc>
          <w:tcPr>
            <w:tcW w:w="99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This course has been approved for transfer under the 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r w:rsidRPr="001F21E2">
              <w:rPr>
                <w:rFonts w:ascii="Arial" w:eastAsia="Times New Roman" w:hAnsi="Arial" w:cs="Arial"/>
                <w:color w:val="000000"/>
                <w:sz w:val="23"/>
                <w:szCs w:val="23"/>
              </w:rPr>
              <w:br/>
              <w:t xml:space="preserve">This course has been approved for transfer under the ICAA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p>
        </w:tc>
      </w:tr>
      <w:tr w:rsidR="001F21E2" w:rsidRPr="001F21E2" w:rsidTr="001F21E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CJC-221</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Investigative Principles</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CJC-221</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introduces the theories and fundamentals of the investigative process. Topics include crime scene/incident processing, information gathering techniques, collection/preservation of evidence, preparation of appropriate reports, court presentations, and other related topics. Upon completion, students should be able to identify, explain, and demonstrate the techniques of the investigative process, report preparation, and courtroom presentation.</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1"/>
        <w:gridCol w:w="2480"/>
      </w:tblGrid>
      <w:tr w:rsidR="001F21E2" w:rsidRPr="001F21E2" w:rsidTr="001F21E2">
        <w:trPr>
          <w:tblCellSpacing w:w="15" w:type="dxa"/>
          <w:jc w:val="center"/>
        </w:trPr>
        <w:tc>
          <w:tcPr>
            <w:tcW w:w="990" w:type="pct"/>
            <w:shd w:val="clear" w:color="auto" w:fill="FFFFFF"/>
            <w:tcMar>
              <w:top w:w="30" w:type="dxa"/>
              <w:left w:w="90" w:type="dxa"/>
              <w:bottom w:w="30" w:type="dxa"/>
              <w:right w:w="90" w:type="dxa"/>
            </w:tcMar>
            <w:hideMark/>
          </w:tcPr>
          <w:p w:rsid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p w:rsidR="001F21E2" w:rsidRPr="001F21E2" w:rsidRDefault="001F21E2" w:rsidP="001F21E2">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r w:rsidR="001F21E2" w:rsidRPr="001F21E2" w:rsidTr="001F21E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CJC-231</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Constitutional Law</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CJC-231</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The course covers the impact of the Constitution of the United States and its amendments on the criminal justice system. Topics include the structure of the Constitution and its amendments, court decisions pertinent to contemporary criminal justice issues, and other related topics. Upon completion, students should be able to identify/discuss the basic structure of the United States Constitution and the rights/procedures as interpreted by the courts.</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757"/>
        <w:gridCol w:w="2704"/>
      </w:tblGrid>
      <w:tr w:rsidR="001F21E2" w:rsidRPr="001F21E2" w:rsidTr="001F21E2">
        <w:trPr>
          <w:tblCellSpacing w:w="15" w:type="dxa"/>
          <w:jc w:val="center"/>
        </w:trPr>
        <w:tc>
          <w:tcPr>
            <w:tcW w:w="99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r w:rsidR="001F21E2" w:rsidRPr="001F21E2" w:rsidTr="001F21E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CJC-113</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Juvenile Justice</w:t>
            </w: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CJC-113</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covers the juvenile justice system and related juvenile issues. Topics include an overview of the juvenile justice system, treatment and prevention programs, special areas and laws unique to juveniles, and other related topics. Upon completion, students should be able to identify/discuss juvenile court structure/procedures, function and jurisdiction of juvenile agencies, processing/detention of juveniles, and case disposition.</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F21E2" w:rsidRPr="001F21E2" w:rsidTr="001F21E2">
        <w:trPr>
          <w:tblCellSpacing w:w="15" w:type="dxa"/>
          <w:jc w:val="center"/>
        </w:trPr>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Times New Roman" w:eastAsia="Times New Roman" w:hAnsi="Times New Roman" w:cs="Times New Roman"/>
                <w:sz w:val="24"/>
                <w:szCs w:val="24"/>
              </w:rPr>
            </w:pP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1F21E2" w:rsidRPr="001F21E2" w:rsidRDefault="001F21E2" w:rsidP="001F21E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F21E2" w:rsidRPr="001F21E2" w:rsidTr="001F21E2">
        <w:trPr>
          <w:tblCellSpacing w:w="15" w:type="dxa"/>
          <w:jc w:val="center"/>
        </w:trPr>
        <w:tc>
          <w:tcPr>
            <w:tcW w:w="1000" w:type="pct"/>
            <w:shd w:val="clear" w:color="auto" w:fill="FFFFFF"/>
            <w:tcMar>
              <w:top w:w="30" w:type="dxa"/>
              <w:left w:w="90" w:type="dxa"/>
              <w:bottom w:w="30" w:type="dxa"/>
              <w:right w:w="90" w:type="dxa"/>
            </w:tcMar>
            <w:hideMark/>
          </w:tcPr>
          <w:p w:rsidR="00673F59" w:rsidRDefault="001F21E2" w:rsidP="00673F59">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Default="00673F59" w:rsidP="00673F59">
            <w:pPr>
              <w:spacing w:after="0" w:line="240" w:lineRule="auto"/>
              <w:rPr>
                <w:rFonts w:ascii="Arial" w:eastAsia="Times New Roman" w:hAnsi="Arial" w:cs="Arial"/>
                <w:color w:val="000000"/>
                <w:sz w:val="23"/>
                <w:szCs w:val="23"/>
              </w:rPr>
            </w:pPr>
          </w:p>
          <w:p w:rsidR="00673F59" w:rsidRPr="001F21E2" w:rsidRDefault="00673F59" w:rsidP="00673F59">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hideMark/>
          </w:tcPr>
          <w:p w:rsidR="001F21E2" w:rsidRPr="001F21E2" w:rsidRDefault="001F21E2" w:rsidP="001F21E2">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A429BE" w:rsidRDefault="00A429BE"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5622"/>
        <w:gridCol w:w="1869"/>
      </w:tblGrid>
      <w:tr w:rsidR="00673F59" w:rsidRPr="00673F59" w:rsidTr="00673F59">
        <w:trPr>
          <w:tblCellSpacing w:w="15" w:type="dxa"/>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lastRenderedPageBreak/>
              <w:t>CJC-121</w:t>
            </w:r>
          </w:p>
        </w:tc>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t>Law Enforcement Operations</w:t>
            </w:r>
          </w:p>
        </w:tc>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t>CJC-121</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This course introduces fundamental law enforcement operations. Topics include the contemporary evolution of law enforcement operations and related issues. Upon completion, students should be able to explain theories, practices, and issues related to law enforcement operations.</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jc w:val="center"/>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Times New Roman" w:eastAsia="Times New Roman" w:hAnsi="Times New Roman" w:cs="Times New Roman"/>
                <w:sz w:val="24"/>
                <w:szCs w:val="24"/>
              </w:rPr>
            </w:pP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jc w:val="center"/>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Times New Roman" w:eastAsia="Times New Roman" w:hAnsi="Times New Roman" w:cs="Times New Roman"/>
                <w:sz w:val="24"/>
                <w:szCs w:val="24"/>
              </w:rPr>
            </w:pP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73F59" w:rsidRPr="00673F59" w:rsidTr="00673F59">
        <w:trPr>
          <w:tblCellSpacing w:w="15" w:type="dxa"/>
          <w:jc w:val="center"/>
        </w:trPr>
        <w:tc>
          <w:tcPr>
            <w:tcW w:w="100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None</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73F59" w:rsidRPr="00673F59" w:rsidTr="00673F59">
        <w:trPr>
          <w:tblCellSpacing w:w="15" w:type="dxa"/>
          <w:jc w:val="center"/>
        </w:trPr>
        <w:tc>
          <w:tcPr>
            <w:tcW w:w="100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 xml:space="preserve">State </w:t>
            </w:r>
            <w:proofErr w:type="spellStart"/>
            <w:r w:rsidRPr="00673F5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None</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80"/>
        <w:gridCol w:w="1981"/>
      </w:tblGrid>
      <w:tr w:rsidR="00673F59" w:rsidRPr="00673F59" w:rsidTr="00673F59">
        <w:trPr>
          <w:tblCellSpacing w:w="15" w:type="dxa"/>
          <w:jc w:val="center"/>
        </w:trPr>
        <w:tc>
          <w:tcPr>
            <w:tcW w:w="99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 xml:space="preserve">This course has been approved for transfer under the CAA as a </w:t>
            </w:r>
            <w:proofErr w:type="spellStart"/>
            <w:r w:rsidRPr="00673F59">
              <w:rPr>
                <w:rFonts w:ascii="Arial" w:eastAsia="Times New Roman" w:hAnsi="Arial" w:cs="Arial"/>
                <w:color w:val="000000"/>
                <w:sz w:val="23"/>
                <w:szCs w:val="23"/>
              </w:rPr>
              <w:t>premajor</w:t>
            </w:r>
            <w:proofErr w:type="spellEnd"/>
            <w:r w:rsidRPr="00673F59">
              <w:rPr>
                <w:rFonts w:ascii="Arial" w:eastAsia="Times New Roman" w:hAnsi="Arial" w:cs="Arial"/>
                <w:color w:val="000000"/>
                <w:sz w:val="23"/>
                <w:szCs w:val="23"/>
              </w:rPr>
              <w:t xml:space="preserve"> and/or elective course requirement.</w:t>
            </w:r>
            <w:r w:rsidRPr="00673F59">
              <w:rPr>
                <w:rFonts w:ascii="Arial" w:eastAsia="Times New Roman" w:hAnsi="Arial" w:cs="Arial"/>
                <w:color w:val="000000"/>
                <w:sz w:val="23"/>
                <w:szCs w:val="23"/>
              </w:rPr>
              <w:br/>
              <w:t xml:space="preserve">This course has been approved for transfer under the ICAA as a </w:t>
            </w:r>
            <w:proofErr w:type="spellStart"/>
            <w:r w:rsidRPr="00673F59">
              <w:rPr>
                <w:rFonts w:ascii="Arial" w:eastAsia="Times New Roman" w:hAnsi="Arial" w:cs="Arial"/>
                <w:color w:val="000000"/>
                <w:sz w:val="23"/>
                <w:szCs w:val="23"/>
              </w:rPr>
              <w:t>premajor</w:t>
            </w:r>
            <w:proofErr w:type="spellEnd"/>
            <w:r w:rsidRPr="00673F59">
              <w:rPr>
                <w:rFonts w:ascii="Arial" w:eastAsia="Times New Roman" w:hAnsi="Arial" w:cs="Arial"/>
                <w:color w:val="000000"/>
                <w:sz w:val="23"/>
                <w:szCs w:val="23"/>
              </w:rPr>
              <w:t xml:space="preserve"> and/or elective course requirement.</w:t>
            </w:r>
          </w:p>
          <w:p w:rsidR="00673F59" w:rsidRPr="00673F59" w:rsidRDefault="00673F59" w:rsidP="00673F59">
            <w:pPr>
              <w:spacing w:after="0" w:line="240" w:lineRule="auto"/>
              <w:rPr>
                <w:rFonts w:ascii="Arial" w:eastAsia="Times New Roman" w:hAnsi="Arial" w:cs="Arial"/>
                <w:color w:val="000000"/>
                <w:sz w:val="23"/>
                <w:szCs w:val="23"/>
              </w:rPr>
            </w:pPr>
          </w:p>
        </w:tc>
      </w:tr>
      <w:tr w:rsidR="00673F59" w:rsidRPr="00673F59" w:rsidTr="00673F5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t>CJC-132</w:t>
            </w:r>
          </w:p>
        </w:tc>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t>Court Procedure &amp; Evidence</w:t>
            </w:r>
          </w:p>
        </w:tc>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b/>
                <w:bCs/>
                <w:color w:val="000000"/>
                <w:sz w:val="23"/>
                <w:szCs w:val="23"/>
              </w:rPr>
            </w:pPr>
            <w:r w:rsidRPr="00673F59">
              <w:rPr>
                <w:rFonts w:ascii="Arial" w:eastAsia="Times New Roman" w:hAnsi="Arial" w:cs="Arial"/>
                <w:b/>
                <w:bCs/>
                <w:color w:val="000000"/>
                <w:sz w:val="23"/>
                <w:szCs w:val="23"/>
              </w:rPr>
              <w:t>CJC-132</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This course covers judicial structure/process/procedure from incident to disposition, kinds and degrees of evidence, and the rules governing admissibility of evidence in court. Topics include consideration of state and federal courts, arrest, search and seizure laws, exclusionary and statutory rules of evidence, and other related issues. Upon completion, students should be able to identify and discuss procedures necessary to establish a lawful arrest/search, proper judicial procedures, and the admissibility of evidence.</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jc w:val="center"/>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Times New Roman" w:eastAsia="Times New Roman" w:hAnsi="Times New Roman" w:cs="Times New Roman"/>
                <w:sz w:val="24"/>
                <w:szCs w:val="24"/>
              </w:rPr>
            </w:pP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673F59" w:rsidRPr="00673F59" w:rsidTr="00673F59">
        <w:trPr>
          <w:tblCellSpacing w:w="15" w:type="dxa"/>
          <w:jc w:val="center"/>
        </w:trPr>
        <w:tc>
          <w:tcPr>
            <w:tcW w:w="0" w:type="auto"/>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Times New Roman" w:eastAsia="Times New Roman" w:hAnsi="Times New Roman" w:cs="Times New Roman"/>
                <w:sz w:val="24"/>
                <w:szCs w:val="24"/>
              </w:rPr>
            </w:pP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673F59" w:rsidRPr="00673F59" w:rsidTr="00673F59">
        <w:trPr>
          <w:tblCellSpacing w:w="15" w:type="dxa"/>
          <w:jc w:val="center"/>
        </w:trPr>
        <w:tc>
          <w:tcPr>
            <w:tcW w:w="100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None</w:t>
            </w:r>
          </w:p>
        </w:tc>
      </w:tr>
    </w:tbl>
    <w:p w:rsidR="00673F59" w:rsidRPr="00673F59" w:rsidRDefault="00673F59" w:rsidP="00673F59">
      <w:pPr>
        <w:spacing w:after="0" w:line="240" w:lineRule="auto"/>
        <w:rPr>
          <w:rFonts w:ascii="Times New Roman" w:eastAsia="Times New Roman" w:hAnsi="Times New Roman" w:cs="Times New Roman"/>
          <w:vanish/>
          <w:sz w:val="24"/>
          <w:szCs w:val="24"/>
        </w:rPr>
      </w:pPr>
    </w:p>
    <w:tbl>
      <w:tblPr>
        <w:tblW w:w="5112"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2"/>
        <w:gridCol w:w="30"/>
        <w:gridCol w:w="4355"/>
        <w:gridCol w:w="3268"/>
        <w:gridCol w:w="45"/>
      </w:tblGrid>
      <w:tr w:rsidR="00673F59" w:rsidRPr="00673F59" w:rsidTr="00A71616">
        <w:trPr>
          <w:trHeight w:val="1418"/>
          <w:tblCellSpacing w:w="15" w:type="dxa"/>
          <w:jc w:val="center"/>
        </w:trPr>
        <w:tc>
          <w:tcPr>
            <w:tcW w:w="973" w:type="pct"/>
            <w:shd w:val="clear" w:color="auto" w:fill="FFFFFF"/>
            <w:tcMar>
              <w:top w:w="30" w:type="dxa"/>
              <w:left w:w="90" w:type="dxa"/>
              <w:bottom w:w="30" w:type="dxa"/>
              <w:right w:w="90" w:type="dxa"/>
            </w:tcMar>
            <w:hideMark/>
          </w:tcPr>
          <w:p w:rsidR="00A71616" w:rsidRPr="00673F59" w:rsidRDefault="00673F59" w:rsidP="00A71616">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 xml:space="preserve">State </w:t>
            </w:r>
            <w:proofErr w:type="spellStart"/>
            <w:r w:rsidRPr="00673F59">
              <w:rPr>
                <w:rFonts w:ascii="Arial" w:eastAsia="Times New Roman" w:hAnsi="Arial" w:cs="Arial"/>
                <w:color w:val="000000"/>
                <w:sz w:val="23"/>
                <w:szCs w:val="23"/>
              </w:rPr>
              <w:t>Corequisites</w:t>
            </w:r>
            <w:proofErr w:type="spellEnd"/>
          </w:p>
        </w:tc>
        <w:tc>
          <w:tcPr>
            <w:tcW w:w="0" w:type="auto"/>
            <w:gridSpan w:val="4"/>
            <w:shd w:val="clear" w:color="auto" w:fill="FFFFFF"/>
            <w:tcMar>
              <w:top w:w="30" w:type="dxa"/>
              <w:left w:w="90" w:type="dxa"/>
              <w:bottom w:w="30" w:type="dxa"/>
              <w:right w:w="90" w:type="dxa"/>
            </w:tcMar>
            <w:hideMark/>
          </w:tcPr>
          <w:p w:rsidR="00673F59" w:rsidRPr="00673F59" w:rsidRDefault="00673F59" w:rsidP="00673F59">
            <w:pPr>
              <w:spacing w:after="0" w:line="240" w:lineRule="auto"/>
              <w:rPr>
                <w:rFonts w:ascii="Arial" w:eastAsia="Times New Roman" w:hAnsi="Arial" w:cs="Arial"/>
                <w:color w:val="000000"/>
                <w:sz w:val="23"/>
                <w:szCs w:val="23"/>
              </w:rPr>
            </w:pPr>
            <w:r w:rsidRPr="00673F59">
              <w:rPr>
                <w:rFonts w:ascii="Arial" w:eastAsia="Times New Roman" w:hAnsi="Arial" w:cs="Arial"/>
                <w:color w:val="000000"/>
                <w:sz w:val="23"/>
                <w:szCs w:val="23"/>
              </w:rPr>
              <w:t>None</w:t>
            </w:r>
          </w:p>
        </w:tc>
      </w:tr>
      <w:tr w:rsidR="00A71616" w:rsidRPr="00A71616" w:rsidTr="00A71616">
        <w:tblPrEx>
          <w:jc w:val="left"/>
        </w:tblPrEx>
        <w:trPr>
          <w:gridAfter w:val="1"/>
          <w:tblCellSpacing w:w="15" w:type="dxa"/>
        </w:trPr>
        <w:tc>
          <w:tcPr>
            <w:tcW w:w="0" w:type="auto"/>
            <w:gridSpan w:val="2"/>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b/>
                <w:bCs/>
                <w:color w:val="000000"/>
                <w:sz w:val="23"/>
                <w:szCs w:val="23"/>
              </w:rPr>
            </w:pPr>
            <w:r w:rsidRPr="00A71616">
              <w:rPr>
                <w:rFonts w:ascii="Arial" w:eastAsia="Times New Roman" w:hAnsi="Arial" w:cs="Arial"/>
                <w:b/>
                <w:bCs/>
                <w:color w:val="000000"/>
                <w:sz w:val="23"/>
                <w:szCs w:val="23"/>
              </w:rPr>
              <w:t>CJC-141</w:t>
            </w:r>
          </w:p>
        </w:tc>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b/>
                <w:bCs/>
                <w:color w:val="000000"/>
                <w:sz w:val="23"/>
                <w:szCs w:val="23"/>
              </w:rPr>
            </w:pPr>
            <w:r w:rsidRPr="00A71616">
              <w:rPr>
                <w:rFonts w:ascii="Arial" w:eastAsia="Times New Roman" w:hAnsi="Arial" w:cs="Arial"/>
                <w:b/>
                <w:bCs/>
                <w:color w:val="000000"/>
                <w:sz w:val="23"/>
                <w:szCs w:val="23"/>
              </w:rPr>
              <w:t>Corrections</w:t>
            </w:r>
          </w:p>
        </w:tc>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b/>
                <w:bCs/>
                <w:color w:val="000000"/>
                <w:sz w:val="23"/>
                <w:szCs w:val="23"/>
              </w:rPr>
            </w:pPr>
            <w:r w:rsidRPr="00A71616">
              <w:rPr>
                <w:rFonts w:ascii="Arial" w:eastAsia="Times New Roman" w:hAnsi="Arial" w:cs="Arial"/>
                <w:b/>
                <w:bCs/>
                <w:color w:val="000000"/>
                <w:sz w:val="23"/>
                <w:szCs w:val="23"/>
              </w:rPr>
              <w:t>CJC-141</w:t>
            </w: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71616" w:rsidRPr="00A71616" w:rsidTr="00A71616">
        <w:trPr>
          <w:tblCellSpacing w:w="15" w:type="dxa"/>
        </w:trPr>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w:t>
            </w: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71616" w:rsidRPr="00A71616" w:rsidTr="00A71616">
        <w:trPr>
          <w:tblCellSpacing w:w="15" w:type="dxa"/>
          <w:jc w:val="center"/>
        </w:trPr>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Times New Roman" w:eastAsia="Times New Roman" w:hAnsi="Times New Roman" w:cs="Times New Roman"/>
                <w:sz w:val="24"/>
                <w:szCs w:val="24"/>
              </w:rPr>
            </w:pP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71616" w:rsidRPr="00A71616" w:rsidTr="00A71616">
        <w:trPr>
          <w:tblCellSpacing w:w="15" w:type="dxa"/>
          <w:jc w:val="center"/>
        </w:trPr>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Times New Roman" w:eastAsia="Times New Roman" w:hAnsi="Times New Roman" w:cs="Times New Roman"/>
                <w:sz w:val="24"/>
                <w:szCs w:val="24"/>
              </w:rPr>
            </w:pP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71616" w:rsidRPr="00A71616" w:rsidTr="00A71616">
        <w:trPr>
          <w:tblCellSpacing w:w="15" w:type="dxa"/>
          <w:jc w:val="center"/>
        </w:trPr>
        <w:tc>
          <w:tcPr>
            <w:tcW w:w="1000" w:type="pct"/>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None</w:t>
            </w: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71616" w:rsidRPr="00A71616" w:rsidTr="00A71616">
        <w:trPr>
          <w:tblCellSpacing w:w="15" w:type="dxa"/>
          <w:jc w:val="center"/>
        </w:trPr>
        <w:tc>
          <w:tcPr>
            <w:tcW w:w="1000" w:type="pct"/>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 xml:space="preserve">State </w:t>
            </w:r>
            <w:proofErr w:type="spellStart"/>
            <w:r w:rsidRPr="00A71616">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None</w:t>
            </w:r>
          </w:p>
        </w:tc>
      </w:tr>
    </w:tbl>
    <w:p w:rsidR="00A71616" w:rsidRPr="00A71616" w:rsidRDefault="00A71616" w:rsidP="00A7161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1"/>
        <w:gridCol w:w="2110"/>
      </w:tblGrid>
      <w:tr w:rsidR="00A71616" w:rsidRPr="00A71616" w:rsidTr="00B10CFE">
        <w:trPr>
          <w:tblCellSpacing w:w="15" w:type="dxa"/>
          <w:jc w:val="center"/>
        </w:trPr>
        <w:tc>
          <w:tcPr>
            <w:tcW w:w="990" w:type="pct"/>
            <w:shd w:val="clear" w:color="auto" w:fill="FFFFFF"/>
            <w:tcMar>
              <w:top w:w="30" w:type="dxa"/>
              <w:left w:w="90" w:type="dxa"/>
              <w:bottom w:w="30" w:type="dxa"/>
              <w:right w:w="90" w:type="dxa"/>
            </w:tcMar>
            <w:hideMark/>
          </w:tcPr>
          <w:p w:rsidR="00A71616" w:rsidRPr="00A71616" w:rsidRDefault="00A71616" w:rsidP="00A71616">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A71616" w:rsidRDefault="00A71616" w:rsidP="00B10CFE">
            <w:pPr>
              <w:spacing w:after="0" w:line="240" w:lineRule="auto"/>
              <w:rPr>
                <w:rFonts w:ascii="Arial" w:eastAsia="Times New Roman" w:hAnsi="Arial" w:cs="Arial"/>
                <w:color w:val="000000"/>
                <w:sz w:val="23"/>
                <w:szCs w:val="23"/>
              </w:rPr>
            </w:pPr>
            <w:r w:rsidRPr="00A71616">
              <w:rPr>
                <w:rFonts w:ascii="Arial" w:eastAsia="Times New Roman" w:hAnsi="Arial" w:cs="Arial"/>
                <w:color w:val="000000"/>
                <w:sz w:val="23"/>
                <w:szCs w:val="23"/>
              </w:rPr>
              <w:t xml:space="preserve">This course has been approved for transfer under the CAA as a </w:t>
            </w:r>
            <w:proofErr w:type="spellStart"/>
            <w:r w:rsidRPr="00A71616">
              <w:rPr>
                <w:rFonts w:ascii="Arial" w:eastAsia="Times New Roman" w:hAnsi="Arial" w:cs="Arial"/>
                <w:color w:val="000000"/>
                <w:sz w:val="23"/>
                <w:szCs w:val="23"/>
              </w:rPr>
              <w:t>premajor</w:t>
            </w:r>
            <w:proofErr w:type="spellEnd"/>
            <w:r w:rsidRPr="00A71616">
              <w:rPr>
                <w:rFonts w:ascii="Arial" w:eastAsia="Times New Roman" w:hAnsi="Arial" w:cs="Arial"/>
                <w:color w:val="000000"/>
                <w:sz w:val="23"/>
                <w:szCs w:val="23"/>
              </w:rPr>
              <w:t xml:space="preserve"> and/or elective course requirement.</w:t>
            </w:r>
            <w:r w:rsidRPr="00A71616">
              <w:rPr>
                <w:rFonts w:ascii="Arial" w:eastAsia="Times New Roman" w:hAnsi="Arial" w:cs="Arial"/>
                <w:color w:val="000000"/>
                <w:sz w:val="23"/>
                <w:szCs w:val="23"/>
              </w:rPr>
              <w:br/>
              <w:t xml:space="preserve">This course has been approved for transfer under the ICAA as a </w:t>
            </w:r>
            <w:proofErr w:type="spellStart"/>
            <w:r w:rsidRPr="00A71616">
              <w:rPr>
                <w:rFonts w:ascii="Arial" w:eastAsia="Times New Roman" w:hAnsi="Arial" w:cs="Arial"/>
                <w:color w:val="000000"/>
                <w:sz w:val="23"/>
                <w:szCs w:val="23"/>
              </w:rPr>
              <w:t>premajor</w:t>
            </w:r>
            <w:proofErr w:type="spellEnd"/>
            <w:r w:rsidRPr="00A71616">
              <w:rPr>
                <w:rFonts w:ascii="Arial" w:eastAsia="Times New Roman" w:hAnsi="Arial" w:cs="Arial"/>
                <w:color w:val="000000"/>
                <w:sz w:val="23"/>
                <w:szCs w:val="23"/>
              </w:rPr>
              <w:t xml:space="preserve"> and/or elective course requirement.</w:t>
            </w:r>
          </w:p>
          <w:p w:rsidR="00B10CFE" w:rsidRDefault="00B10CFE" w:rsidP="00B10CFE">
            <w:pPr>
              <w:spacing w:after="0" w:line="240" w:lineRule="auto"/>
              <w:rPr>
                <w:rFonts w:ascii="Arial" w:eastAsia="Times New Roman" w:hAnsi="Arial" w:cs="Arial"/>
                <w:color w:val="000000"/>
                <w:sz w:val="23"/>
                <w:szCs w:val="23"/>
              </w:rPr>
            </w:pPr>
          </w:p>
          <w:p w:rsidR="00B10CFE" w:rsidRDefault="00B10CFE" w:rsidP="00B10CFE">
            <w:pPr>
              <w:spacing w:after="0" w:line="240" w:lineRule="auto"/>
              <w:rPr>
                <w:rFonts w:ascii="Arial" w:eastAsia="Times New Roman" w:hAnsi="Arial" w:cs="Arial"/>
                <w:color w:val="000000"/>
                <w:sz w:val="23"/>
                <w:szCs w:val="23"/>
              </w:rPr>
            </w:pPr>
          </w:p>
          <w:p w:rsidR="00B10CFE" w:rsidRDefault="00B10CFE" w:rsidP="00B10CFE">
            <w:pPr>
              <w:spacing w:after="0" w:line="240" w:lineRule="auto"/>
              <w:rPr>
                <w:rFonts w:ascii="Arial" w:eastAsia="Times New Roman" w:hAnsi="Arial" w:cs="Arial"/>
                <w:color w:val="000000"/>
                <w:sz w:val="23"/>
                <w:szCs w:val="23"/>
              </w:rPr>
            </w:pPr>
          </w:p>
          <w:p w:rsidR="00B10CFE" w:rsidRPr="00A71616" w:rsidRDefault="00B10CFE" w:rsidP="00B10CFE">
            <w:pPr>
              <w:spacing w:after="0" w:line="240" w:lineRule="auto"/>
              <w:rPr>
                <w:rFonts w:ascii="Arial" w:eastAsia="Times New Roman" w:hAnsi="Arial" w:cs="Arial"/>
                <w:color w:val="000000"/>
                <w:sz w:val="23"/>
                <w:szCs w:val="23"/>
              </w:rPr>
            </w:pPr>
          </w:p>
        </w:tc>
      </w:tr>
      <w:tr w:rsidR="00B10CFE" w:rsidRPr="00B10CFE" w:rsidTr="00B10C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ENG-114</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Prof Research &amp; Reporting</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ENG-114</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Take ENG-111</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State </w:t>
            </w:r>
            <w:proofErr w:type="spellStart"/>
            <w:r w:rsidRPr="00B10C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9"/>
        <w:gridCol w:w="2402"/>
      </w:tblGrid>
      <w:tr w:rsidR="00B10CFE" w:rsidRPr="00B10CFE" w:rsidTr="00B10CFE">
        <w:trPr>
          <w:tblCellSpacing w:w="15" w:type="dxa"/>
          <w:jc w:val="center"/>
        </w:trPr>
        <w:tc>
          <w:tcPr>
            <w:tcW w:w="99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has been approved for transfer under the CAA as a general education course in English Composition.</w:t>
            </w:r>
            <w:r w:rsidRPr="00B10CFE">
              <w:rPr>
                <w:rFonts w:ascii="Arial" w:eastAsia="Times New Roman" w:hAnsi="Arial" w:cs="Arial"/>
                <w:color w:val="000000"/>
                <w:sz w:val="23"/>
                <w:szCs w:val="23"/>
              </w:rPr>
              <w:br/>
              <w:t>This course has been approved for transfer under the ICAA as a general education course in English Composition.</w:t>
            </w:r>
          </w:p>
          <w:p w:rsidR="00B10CFE" w:rsidRPr="00B10CFE" w:rsidRDefault="00B10CFE" w:rsidP="00B10CFE">
            <w:pPr>
              <w:spacing w:after="0" w:line="240" w:lineRule="auto"/>
              <w:rPr>
                <w:rFonts w:ascii="Arial" w:eastAsia="Times New Roman" w:hAnsi="Arial" w:cs="Arial"/>
                <w:color w:val="000000"/>
                <w:sz w:val="23"/>
                <w:szCs w:val="23"/>
              </w:rPr>
            </w:pPr>
          </w:p>
        </w:tc>
      </w:tr>
      <w:tr w:rsidR="00B10CFE" w:rsidRPr="00B10CFE" w:rsidTr="00B10C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MAT-143</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MAT-143</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B10CFE">
              <w:rPr>
                <w:rFonts w:ascii="Arial" w:eastAsia="Times New Roman" w:hAnsi="Arial" w:cs="Arial"/>
                <w:color w:val="000000"/>
                <w:sz w:val="23"/>
                <w:szCs w:val="23"/>
              </w:rPr>
              <w:t>dimensional</w:t>
            </w:r>
            <w:proofErr w:type="gramEnd"/>
            <w:r w:rsidRPr="00B10CFE">
              <w:rPr>
                <w:rFonts w:ascii="Arial" w:eastAsia="Times New Roman" w:hAnsi="Arial" w:cs="Arial"/>
                <w:color w:val="000000"/>
                <w:sz w:val="23"/>
                <w:szCs w:val="23"/>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Competencies</w:t>
            </w:r>
          </w:p>
        </w:tc>
      </w:tr>
      <w:tr w:rsidR="00B10CFE" w:rsidRPr="00B10CFE" w:rsidTr="00B10CFE">
        <w:trPr>
          <w:tblCellSpacing w:w="15" w:type="dxa"/>
          <w:jc w:val="center"/>
        </w:trPr>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·Student Learning Outcomes</w:t>
            </w:r>
            <w:r w:rsidRPr="00B10CFE">
              <w:rPr>
                <w:rFonts w:ascii="Arial" w:eastAsia="Times New Roman" w:hAnsi="Arial" w:cs="Arial"/>
                <w:color w:val="000000"/>
                <w:sz w:val="23"/>
                <w:szCs w:val="23"/>
              </w:rPr>
              <w:br/>
              <w:t>1. Judge the reasonableness of results using estimation, logical processes, and a proper understanding of quantity</w:t>
            </w:r>
            <w:r w:rsidRPr="00B10CFE">
              <w:rPr>
                <w:rFonts w:ascii="Arial" w:eastAsia="Times New Roman" w:hAnsi="Arial" w:cs="Arial"/>
                <w:color w:val="000000"/>
                <w:sz w:val="23"/>
                <w:szCs w:val="23"/>
              </w:rPr>
              <w:br/>
              <w:t>2. Utilize proportional reasoning to solve contextual problems and make conversions involving various units of measurement</w:t>
            </w:r>
            <w:r w:rsidRPr="00B10CFE">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B10CFE">
              <w:rPr>
                <w:rFonts w:ascii="Arial" w:eastAsia="Times New Roman" w:hAnsi="Arial" w:cs="Arial"/>
                <w:color w:val="000000"/>
                <w:sz w:val="23"/>
                <w:szCs w:val="23"/>
              </w:rPr>
              <w:br/>
              <w:t>4. Differentiate between simple and compound interest and analyze the long-term effects of saving, investing, and borrowing</w:t>
            </w:r>
            <w:r w:rsidRPr="00B10CFE">
              <w:rPr>
                <w:rFonts w:ascii="Arial" w:eastAsia="Times New Roman" w:hAnsi="Arial" w:cs="Arial"/>
                <w:color w:val="000000"/>
                <w:sz w:val="23"/>
                <w:szCs w:val="23"/>
              </w:rPr>
              <w:br/>
            </w:r>
            <w:r w:rsidRPr="00B10CFE">
              <w:rPr>
                <w:rFonts w:ascii="Arial" w:eastAsia="Times New Roman" w:hAnsi="Arial" w:cs="Arial"/>
                <w:color w:val="000000"/>
                <w:sz w:val="23"/>
                <w:szCs w:val="23"/>
              </w:rPr>
              <w:lastRenderedPageBreak/>
              <w:t>5. Describe, analyze, and interpret statistical information such as graphs, tables, and summarized data to draw appropriate conclusions when presented with actual statistical studies</w:t>
            </w:r>
            <w:r w:rsidRPr="00B10CFE">
              <w:rPr>
                <w:rFonts w:ascii="Arial" w:eastAsia="Times New Roman" w:hAnsi="Arial" w:cs="Arial"/>
                <w:color w:val="000000"/>
                <w:sz w:val="23"/>
                <w:szCs w:val="23"/>
              </w:rPr>
              <w:br/>
              <w:t>6. Determine probabilities and expected values and use them to assess risk and make informed decisions</w:t>
            </w:r>
            <w:r w:rsidRPr="00B10CFE">
              <w:rPr>
                <w:rFonts w:ascii="Arial" w:eastAsia="Times New Roman" w:hAnsi="Arial" w:cs="Arial"/>
                <w:color w:val="000000"/>
                <w:sz w:val="23"/>
                <w:szCs w:val="23"/>
              </w:rPr>
              <w:br/>
              <w:t>7. Analyze civic and/or societal issues and critique decisions using relevant mathematics</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Take One Set:</w:t>
            </w:r>
            <w:r w:rsidRPr="00B10CFE">
              <w:rPr>
                <w:rFonts w:ascii="Arial" w:eastAsia="Times New Roman" w:hAnsi="Arial" w:cs="Arial"/>
                <w:color w:val="000000"/>
                <w:sz w:val="23"/>
                <w:szCs w:val="23"/>
              </w:rPr>
              <w:br/>
              <w:t>Set 1: DMA-010, DMA-020, DMA-030, and DRE-098</w:t>
            </w:r>
            <w:r w:rsidRPr="00B10CFE">
              <w:rPr>
                <w:rFonts w:ascii="Arial" w:eastAsia="Times New Roman" w:hAnsi="Arial" w:cs="Arial"/>
                <w:color w:val="000000"/>
                <w:sz w:val="23"/>
                <w:szCs w:val="23"/>
              </w:rPr>
              <w:br/>
              <w:t>Set 2: DMA-010, DMA-020, DMA-030, and ENG-002</w:t>
            </w:r>
            <w:r w:rsidRPr="00B10CFE">
              <w:rPr>
                <w:rFonts w:ascii="Arial" w:eastAsia="Times New Roman" w:hAnsi="Arial" w:cs="Arial"/>
                <w:color w:val="000000"/>
                <w:sz w:val="23"/>
                <w:szCs w:val="23"/>
              </w:rPr>
              <w:br/>
              <w:t>Set 3: DMA-010, DMA-020, DMA-030, and BSP-4002</w:t>
            </w:r>
            <w:r w:rsidRPr="00B10CFE">
              <w:rPr>
                <w:rFonts w:ascii="Arial" w:eastAsia="Times New Roman" w:hAnsi="Arial" w:cs="Arial"/>
                <w:color w:val="000000"/>
                <w:sz w:val="23"/>
                <w:szCs w:val="23"/>
              </w:rPr>
              <w:br/>
              <w:t>Set 4: DMA-025, and DRE-098</w:t>
            </w:r>
            <w:r w:rsidRPr="00B10CFE">
              <w:rPr>
                <w:rFonts w:ascii="Arial" w:eastAsia="Times New Roman" w:hAnsi="Arial" w:cs="Arial"/>
                <w:color w:val="000000"/>
                <w:sz w:val="23"/>
                <w:szCs w:val="23"/>
              </w:rPr>
              <w:br/>
              <w:t>Set 5: DMA-025, and ENG-002</w:t>
            </w:r>
            <w:r w:rsidRPr="00B10CFE">
              <w:rPr>
                <w:rFonts w:ascii="Arial" w:eastAsia="Times New Roman" w:hAnsi="Arial" w:cs="Arial"/>
                <w:color w:val="000000"/>
                <w:sz w:val="23"/>
                <w:szCs w:val="23"/>
              </w:rPr>
              <w:br/>
              <w:t>Set 6: DMA-025, and BSP-4002</w:t>
            </w:r>
            <w:r w:rsidRPr="00B10CFE">
              <w:rPr>
                <w:rFonts w:ascii="Arial" w:eastAsia="Times New Roman" w:hAnsi="Arial" w:cs="Arial"/>
                <w:color w:val="000000"/>
                <w:sz w:val="23"/>
                <w:szCs w:val="23"/>
              </w:rPr>
              <w:br/>
              <w:t>Set 7: MAT-003 and DRE-098</w:t>
            </w:r>
            <w:r w:rsidRPr="00B10CFE">
              <w:rPr>
                <w:rFonts w:ascii="Arial" w:eastAsia="Times New Roman" w:hAnsi="Arial" w:cs="Arial"/>
                <w:color w:val="000000"/>
                <w:sz w:val="23"/>
                <w:szCs w:val="23"/>
              </w:rPr>
              <w:br/>
              <w:t>Set 8: MAT-003 and ENG-002</w:t>
            </w:r>
            <w:r w:rsidRPr="00B10CFE">
              <w:rPr>
                <w:rFonts w:ascii="Arial" w:eastAsia="Times New Roman" w:hAnsi="Arial" w:cs="Arial"/>
                <w:color w:val="000000"/>
                <w:sz w:val="23"/>
                <w:szCs w:val="23"/>
              </w:rPr>
              <w:br/>
              <w:t>Set 9: MAT-003 and BSP-4002</w:t>
            </w:r>
            <w:r w:rsidRPr="00B10CFE">
              <w:rPr>
                <w:rFonts w:ascii="Arial" w:eastAsia="Times New Roman" w:hAnsi="Arial" w:cs="Arial"/>
                <w:color w:val="000000"/>
                <w:sz w:val="23"/>
                <w:szCs w:val="23"/>
              </w:rPr>
              <w:br/>
              <w:t>Set 10: BSP-4003 and DRE-098</w:t>
            </w:r>
            <w:r w:rsidRPr="00B10CFE">
              <w:rPr>
                <w:rFonts w:ascii="Arial" w:eastAsia="Times New Roman" w:hAnsi="Arial" w:cs="Arial"/>
                <w:color w:val="000000"/>
                <w:sz w:val="23"/>
                <w:szCs w:val="23"/>
              </w:rPr>
              <w:br/>
              <w:t>Set 11: BSP-4003 and ENG-002</w:t>
            </w:r>
            <w:r w:rsidRPr="00B10CFE">
              <w:rPr>
                <w:rFonts w:ascii="Arial" w:eastAsia="Times New Roman" w:hAnsi="Arial" w:cs="Arial"/>
                <w:color w:val="000000"/>
                <w:sz w:val="23"/>
                <w:szCs w:val="23"/>
              </w:rPr>
              <w:br/>
              <w:t>Set 12: BSP-4003 and BSP-4002</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State </w:t>
            </w:r>
            <w:proofErr w:type="spellStart"/>
            <w:r w:rsidRPr="00B10C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Take MAT-043</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26"/>
        <w:gridCol w:w="3035"/>
      </w:tblGrid>
      <w:tr w:rsidR="00B10CFE" w:rsidRPr="00B10CFE" w:rsidTr="00B10CFE">
        <w:trPr>
          <w:tblCellSpacing w:w="15" w:type="dxa"/>
          <w:jc w:val="center"/>
        </w:trPr>
        <w:tc>
          <w:tcPr>
            <w:tcW w:w="99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has been approved for transfer under the CAA as a general education course in Mathematics (Quantitative).</w:t>
            </w:r>
            <w:r w:rsidRPr="00B10CFE">
              <w:rPr>
                <w:rFonts w:ascii="Arial" w:eastAsia="Times New Roman" w:hAnsi="Arial" w:cs="Arial"/>
                <w:color w:val="000000"/>
                <w:sz w:val="23"/>
                <w:szCs w:val="23"/>
              </w:rPr>
              <w:br/>
              <w:t>This course has been approved for transfer under the ICAA as a general education course in Mathematics (Quantitative).</w:t>
            </w:r>
          </w:p>
          <w:p w:rsidR="00B10CFE" w:rsidRPr="00B10CFE" w:rsidRDefault="00B10CFE" w:rsidP="00B10CFE">
            <w:pPr>
              <w:spacing w:after="0" w:line="240" w:lineRule="auto"/>
              <w:rPr>
                <w:rFonts w:ascii="Arial" w:eastAsia="Times New Roman" w:hAnsi="Arial" w:cs="Arial"/>
                <w:color w:val="000000"/>
                <w:sz w:val="23"/>
                <w:szCs w:val="23"/>
              </w:rPr>
            </w:pPr>
          </w:p>
        </w:tc>
      </w:tr>
      <w:tr w:rsidR="00B10CFE" w:rsidRPr="00B10CFE" w:rsidTr="00B10C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CJC-112</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Criminology</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CJC-112</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introduces deviant behavior as it relates to criminal activity. Topics include theories of crime causation; statistical analysis of criminal behavior; past, present, and future social control initiatives; and other related topics. Upon completion, students should be able to explain and discuss various theories of crime causation and societal response.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96"/>
        <w:gridCol w:w="2365"/>
      </w:tblGrid>
      <w:tr w:rsidR="00B10CFE" w:rsidRPr="00B10CFE" w:rsidTr="00B10CFE">
        <w:trPr>
          <w:tblCellSpacing w:w="15" w:type="dxa"/>
          <w:jc w:val="center"/>
        </w:trPr>
        <w:tc>
          <w:tcPr>
            <w:tcW w:w="990" w:type="pct"/>
            <w:shd w:val="clear" w:color="auto" w:fill="FFFFFF"/>
            <w:tcMar>
              <w:top w:w="30" w:type="dxa"/>
              <w:left w:w="90" w:type="dxa"/>
              <w:bottom w:w="30" w:type="dxa"/>
              <w:right w:w="90" w:type="dxa"/>
            </w:tcMar>
            <w:hideMark/>
          </w:tcPr>
          <w:p w:rsid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State </w:t>
            </w:r>
            <w:proofErr w:type="spellStart"/>
            <w:r w:rsidRPr="00B10CFE">
              <w:rPr>
                <w:rFonts w:ascii="Arial" w:eastAsia="Times New Roman" w:hAnsi="Arial" w:cs="Arial"/>
                <w:color w:val="000000"/>
                <w:sz w:val="23"/>
                <w:szCs w:val="23"/>
              </w:rPr>
              <w:t>Corequisites</w:t>
            </w:r>
            <w:proofErr w:type="spellEnd"/>
          </w:p>
          <w:p w:rsidR="00B10CFE" w:rsidRPr="00B10CFE" w:rsidRDefault="00B10CFE" w:rsidP="00B10CFE">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r w:rsidR="00B10CFE" w:rsidRPr="00B10CFE" w:rsidTr="00B10C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CJC-122</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Community Policing</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CJC-122</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covers the historical, philosophical, and practical dimensions of community policing. Emphasis is placed on the empowerment of police and the community to find solutions to problems by forming partnerships. Upon completion, students should be able to define community policing, describe how community policing strategies solve problems, and compare community policing to traditional policing.</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23"/>
        <w:gridCol w:w="2038"/>
      </w:tblGrid>
      <w:tr w:rsidR="00B10CFE" w:rsidRPr="00B10CFE" w:rsidTr="00B10CFE">
        <w:trPr>
          <w:tblCellSpacing w:w="15" w:type="dxa"/>
          <w:jc w:val="center"/>
        </w:trPr>
        <w:tc>
          <w:tcPr>
            <w:tcW w:w="990" w:type="pct"/>
            <w:shd w:val="clear" w:color="auto" w:fill="FFFFFF"/>
            <w:tcMar>
              <w:top w:w="30" w:type="dxa"/>
              <w:left w:w="90" w:type="dxa"/>
              <w:bottom w:w="30" w:type="dxa"/>
              <w:right w:w="90" w:type="dxa"/>
            </w:tcMar>
            <w:hideMark/>
          </w:tcPr>
          <w:p w:rsid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State </w:t>
            </w:r>
            <w:proofErr w:type="spellStart"/>
            <w:r w:rsidRPr="00B10CFE">
              <w:rPr>
                <w:rFonts w:ascii="Arial" w:eastAsia="Times New Roman" w:hAnsi="Arial" w:cs="Arial"/>
                <w:color w:val="000000"/>
                <w:sz w:val="23"/>
                <w:szCs w:val="23"/>
              </w:rPr>
              <w:t>Corequisites</w:t>
            </w:r>
            <w:proofErr w:type="spellEnd"/>
          </w:p>
          <w:p w:rsidR="00B10CFE" w:rsidRPr="00B10CFE" w:rsidRDefault="00B10CFE" w:rsidP="00B10CFE">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r w:rsidR="00B10CFE" w:rsidRPr="00B10CFE" w:rsidTr="00B10CF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CJC-212</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 xml:space="preserve">Ethics &amp; </w:t>
            </w:r>
            <w:proofErr w:type="spellStart"/>
            <w:r w:rsidRPr="00B10CFE">
              <w:rPr>
                <w:rFonts w:ascii="Arial" w:eastAsia="Times New Roman" w:hAnsi="Arial" w:cs="Arial"/>
                <w:b/>
                <w:bCs/>
                <w:color w:val="000000"/>
                <w:sz w:val="23"/>
                <w:szCs w:val="23"/>
              </w:rPr>
              <w:t>Comm</w:t>
            </w:r>
            <w:proofErr w:type="spellEnd"/>
            <w:r w:rsidRPr="00B10CFE">
              <w:rPr>
                <w:rFonts w:ascii="Arial" w:eastAsia="Times New Roman" w:hAnsi="Arial" w:cs="Arial"/>
                <w:b/>
                <w:bCs/>
                <w:color w:val="000000"/>
                <w:sz w:val="23"/>
                <w:szCs w:val="23"/>
              </w:rPr>
              <w:t xml:space="preserve"> Relations</w:t>
            </w:r>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b/>
                <w:bCs/>
                <w:color w:val="000000"/>
                <w:sz w:val="23"/>
                <w:szCs w:val="23"/>
              </w:rPr>
            </w:pPr>
            <w:r w:rsidRPr="00B10CFE">
              <w:rPr>
                <w:rFonts w:ascii="Arial" w:eastAsia="Times New Roman" w:hAnsi="Arial" w:cs="Arial"/>
                <w:b/>
                <w:bCs/>
                <w:color w:val="000000"/>
                <w:sz w:val="23"/>
                <w:szCs w:val="23"/>
              </w:rPr>
              <w:t>CJC-212</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This course covers ethical considerations and accepted standards applicable to criminal justice organizations and professionals. Topics include ethical systems; social change, values, and norms; cultural diversity; citizen involvement in criminal justice issues; and other related topics. Upon completion, students should be able to apply ethical considerations to the decision-making process in identifiable criminal justice situations.</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10CFE" w:rsidRPr="00B10CFE" w:rsidTr="00B10CFE">
        <w:trPr>
          <w:tblCellSpacing w:w="15" w:type="dxa"/>
          <w:jc w:val="center"/>
        </w:trPr>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Times New Roman" w:eastAsia="Times New Roman" w:hAnsi="Times New Roman" w:cs="Times New Roman"/>
                <w:sz w:val="24"/>
                <w:szCs w:val="24"/>
              </w:rPr>
            </w:pP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bl>
    <w:p w:rsidR="00B10CFE" w:rsidRPr="00B10CFE" w:rsidRDefault="00B10CFE" w:rsidP="00B10CF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10CFE" w:rsidRPr="00B10CFE" w:rsidTr="00B10CFE">
        <w:trPr>
          <w:tblCellSpacing w:w="15" w:type="dxa"/>
          <w:jc w:val="center"/>
        </w:trPr>
        <w:tc>
          <w:tcPr>
            <w:tcW w:w="1000" w:type="pct"/>
            <w:shd w:val="clear" w:color="auto" w:fill="FFFFFF"/>
            <w:tcMar>
              <w:top w:w="30" w:type="dxa"/>
              <w:left w:w="90" w:type="dxa"/>
              <w:bottom w:w="30" w:type="dxa"/>
              <w:right w:w="90" w:type="dxa"/>
            </w:tcMar>
            <w:hideMark/>
          </w:tcPr>
          <w:p w:rsidR="004306BF" w:rsidRPr="00B10CFE" w:rsidRDefault="00B10CFE" w:rsidP="004306BF">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 xml:space="preserve">State </w:t>
            </w:r>
            <w:proofErr w:type="spellStart"/>
            <w:r w:rsidRPr="00B10CF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10CFE" w:rsidRPr="00B10CFE" w:rsidRDefault="00B10CFE" w:rsidP="00B10CFE">
            <w:pPr>
              <w:spacing w:after="0" w:line="240" w:lineRule="auto"/>
              <w:rPr>
                <w:rFonts w:ascii="Arial" w:eastAsia="Times New Roman" w:hAnsi="Arial" w:cs="Arial"/>
                <w:color w:val="000000"/>
                <w:sz w:val="23"/>
                <w:szCs w:val="23"/>
              </w:rPr>
            </w:pPr>
            <w:r w:rsidRPr="00B10CFE">
              <w:rPr>
                <w:rFonts w:ascii="Arial" w:eastAsia="Times New Roman" w:hAnsi="Arial" w:cs="Arial"/>
                <w:color w:val="000000"/>
                <w:sz w:val="23"/>
                <w:szCs w:val="23"/>
              </w:rPr>
              <w:t>None</w:t>
            </w:r>
          </w:p>
        </w:tc>
      </w:tr>
    </w:tbl>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05"/>
        <w:gridCol w:w="4551"/>
        <w:gridCol w:w="2404"/>
      </w:tblGrid>
      <w:tr w:rsidR="004306BF" w:rsidRPr="004306BF" w:rsidTr="004306BF">
        <w:trPr>
          <w:tblCellSpacing w:w="15" w:type="dxa"/>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CJC-213</w:t>
            </w:r>
          </w:p>
        </w:tc>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Substance Abuse</w:t>
            </w:r>
          </w:p>
        </w:tc>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CJC-213</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This course is a study of substance abuse in our society. Topics include the history and classifications of drug abuse and the social, physical, and psychological impact of drug abuse. Upon completion, students should be able to identify various types of drugs, their effects on human behavior and society, and treatment modalities.</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jc w:val="center"/>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Times New Roman" w:eastAsia="Times New Roman" w:hAnsi="Times New Roman" w:cs="Times New Roman"/>
                <w:sz w:val="24"/>
                <w:szCs w:val="24"/>
              </w:rPr>
            </w:pP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jc w:val="center"/>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Times New Roman" w:eastAsia="Times New Roman" w:hAnsi="Times New Roman" w:cs="Times New Roman"/>
                <w:sz w:val="24"/>
                <w:szCs w:val="24"/>
              </w:rPr>
            </w:pP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306BF" w:rsidRPr="004306BF" w:rsidTr="004306BF">
        <w:trPr>
          <w:tblCellSpacing w:w="15" w:type="dxa"/>
          <w:jc w:val="center"/>
        </w:trPr>
        <w:tc>
          <w:tcPr>
            <w:tcW w:w="1000" w:type="pct"/>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None</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04"/>
        <w:gridCol w:w="3057"/>
      </w:tblGrid>
      <w:tr w:rsidR="004306BF" w:rsidRPr="004306BF" w:rsidTr="004306BF">
        <w:trPr>
          <w:tblCellSpacing w:w="15" w:type="dxa"/>
          <w:jc w:val="center"/>
        </w:trPr>
        <w:tc>
          <w:tcPr>
            <w:tcW w:w="990" w:type="pct"/>
            <w:shd w:val="clear" w:color="auto" w:fill="FFFFFF"/>
            <w:tcMar>
              <w:top w:w="30" w:type="dxa"/>
              <w:left w:w="90" w:type="dxa"/>
              <w:bottom w:w="30" w:type="dxa"/>
              <w:right w:w="90" w:type="dxa"/>
            </w:tcMar>
            <w:hideMark/>
          </w:tcPr>
          <w:p w:rsid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 xml:space="preserve">State </w:t>
            </w:r>
            <w:proofErr w:type="spellStart"/>
            <w:r w:rsidRPr="004306BF">
              <w:rPr>
                <w:rFonts w:ascii="Arial" w:eastAsia="Times New Roman" w:hAnsi="Arial" w:cs="Arial"/>
                <w:color w:val="000000"/>
                <w:sz w:val="23"/>
                <w:szCs w:val="23"/>
              </w:rPr>
              <w:t>Corequisites</w:t>
            </w:r>
            <w:proofErr w:type="spellEnd"/>
          </w:p>
          <w:p w:rsidR="004306BF" w:rsidRDefault="004306BF" w:rsidP="004306BF">
            <w:pPr>
              <w:spacing w:after="0" w:line="240" w:lineRule="auto"/>
              <w:rPr>
                <w:rFonts w:ascii="Arial" w:eastAsia="Times New Roman" w:hAnsi="Arial" w:cs="Arial"/>
                <w:color w:val="000000"/>
                <w:sz w:val="23"/>
                <w:szCs w:val="23"/>
              </w:rPr>
            </w:pPr>
          </w:p>
          <w:p w:rsidR="004306BF" w:rsidRPr="004306BF" w:rsidRDefault="004306BF" w:rsidP="004306BF">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None</w:t>
            </w:r>
          </w:p>
        </w:tc>
      </w:tr>
      <w:tr w:rsidR="004306BF" w:rsidRPr="004306BF" w:rsidTr="004306B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CJC-232</w:t>
            </w:r>
          </w:p>
        </w:tc>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Civil Liability</w:t>
            </w:r>
          </w:p>
        </w:tc>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b/>
                <w:bCs/>
                <w:color w:val="000000"/>
                <w:sz w:val="23"/>
                <w:szCs w:val="23"/>
              </w:rPr>
            </w:pPr>
            <w:r w:rsidRPr="004306BF">
              <w:rPr>
                <w:rFonts w:ascii="Arial" w:eastAsia="Times New Roman" w:hAnsi="Arial" w:cs="Arial"/>
                <w:b/>
                <w:bCs/>
                <w:color w:val="000000"/>
                <w:sz w:val="23"/>
                <w:szCs w:val="23"/>
              </w:rPr>
              <w:t>CJC-232</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This course covers liability issues for the criminal justice professional. Topics include civil rights violations, tort liability, employment issues, and other related topics. Upon completion, students should be able to explain civil trial procedures and discuss contemporary liability issues.</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jc w:val="center"/>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Times New Roman" w:eastAsia="Times New Roman" w:hAnsi="Times New Roman" w:cs="Times New Roman"/>
                <w:sz w:val="24"/>
                <w:szCs w:val="24"/>
              </w:rPr>
            </w:pP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6BF" w:rsidRPr="004306BF" w:rsidTr="004306BF">
        <w:trPr>
          <w:tblCellSpacing w:w="15" w:type="dxa"/>
          <w:jc w:val="center"/>
        </w:trPr>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Times New Roman" w:eastAsia="Times New Roman" w:hAnsi="Times New Roman" w:cs="Times New Roman"/>
                <w:sz w:val="24"/>
                <w:szCs w:val="24"/>
              </w:rPr>
            </w:pP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306BF" w:rsidRPr="004306BF" w:rsidTr="004306BF">
        <w:trPr>
          <w:tblCellSpacing w:w="15" w:type="dxa"/>
          <w:jc w:val="center"/>
        </w:trPr>
        <w:tc>
          <w:tcPr>
            <w:tcW w:w="1000" w:type="pct"/>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None</w:t>
            </w:r>
          </w:p>
        </w:tc>
      </w:tr>
    </w:tbl>
    <w:p w:rsidR="004306BF" w:rsidRPr="004306BF" w:rsidRDefault="004306BF" w:rsidP="004306B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306BF" w:rsidRPr="004306BF" w:rsidTr="004306BF">
        <w:trPr>
          <w:tblCellSpacing w:w="15" w:type="dxa"/>
          <w:jc w:val="center"/>
        </w:trPr>
        <w:tc>
          <w:tcPr>
            <w:tcW w:w="1000" w:type="pct"/>
            <w:shd w:val="clear" w:color="auto" w:fill="FFFFFF"/>
            <w:tcMar>
              <w:top w:w="30" w:type="dxa"/>
              <w:left w:w="90" w:type="dxa"/>
              <w:bottom w:w="30" w:type="dxa"/>
              <w:right w:w="90" w:type="dxa"/>
            </w:tcMar>
            <w:hideMark/>
          </w:tcPr>
          <w:p w:rsidR="00D207C0" w:rsidRPr="004306BF" w:rsidRDefault="004306BF" w:rsidP="00D207C0">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lastRenderedPageBreak/>
              <w:t xml:space="preserve">State </w:t>
            </w:r>
            <w:proofErr w:type="spellStart"/>
            <w:r w:rsidRPr="004306B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306BF" w:rsidRPr="004306BF" w:rsidRDefault="004306BF" w:rsidP="004306BF">
            <w:pPr>
              <w:spacing w:after="0" w:line="240" w:lineRule="auto"/>
              <w:rPr>
                <w:rFonts w:ascii="Arial" w:eastAsia="Times New Roman" w:hAnsi="Arial" w:cs="Arial"/>
                <w:color w:val="000000"/>
                <w:sz w:val="23"/>
                <w:szCs w:val="23"/>
              </w:rPr>
            </w:pPr>
            <w:r w:rsidRPr="004306BF">
              <w:rPr>
                <w:rFonts w:ascii="Arial" w:eastAsia="Times New Roman" w:hAnsi="Arial" w:cs="Arial"/>
                <w:color w:val="000000"/>
                <w:sz w:val="23"/>
                <w:szCs w:val="23"/>
              </w:rPr>
              <w:t>None</w:t>
            </w:r>
          </w:p>
        </w:tc>
      </w:tr>
    </w:tbl>
    <w:p w:rsidR="00673F59" w:rsidRDefault="00673F59" w:rsidP="001F21E2">
      <w:pP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4841"/>
        <w:gridCol w:w="2259"/>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PSY-150</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 xml:space="preserve">State </w:t>
            </w:r>
            <w:proofErr w:type="spellStart"/>
            <w:r w:rsidRPr="00D207C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33"/>
        <w:gridCol w:w="3028"/>
      </w:tblGrid>
      <w:tr w:rsidR="00D207C0" w:rsidRPr="00D207C0" w:rsidTr="00D207C0">
        <w:trPr>
          <w:tblCellSpacing w:w="15" w:type="dxa"/>
          <w:jc w:val="center"/>
        </w:trPr>
        <w:tc>
          <w:tcPr>
            <w:tcW w:w="99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has been approved for transfer under the CAA as a general education course in Social/Behavioral Sciences.</w:t>
            </w:r>
            <w:r w:rsidRPr="00D207C0">
              <w:rPr>
                <w:rFonts w:ascii="Arial" w:eastAsia="Times New Roman" w:hAnsi="Arial" w:cs="Arial"/>
                <w:color w:val="000000"/>
                <w:sz w:val="23"/>
                <w:szCs w:val="23"/>
              </w:rPr>
              <w:br/>
              <w:t>This course has been approved for transfer under the ICAA as a general education course in Social/Behavioral Sciences.</w:t>
            </w:r>
          </w:p>
        </w:tc>
      </w:tr>
      <w:tr w:rsidR="00D207C0" w:rsidRPr="00D207C0" w:rsidTr="00D207C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CJC-131</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Criminal Law</w:t>
            </w:r>
            <w:r>
              <w:rPr>
                <w:rFonts w:ascii="Arial" w:eastAsia="Times New Roman" w:hAnsi="Arial" w:cs="Arial"/>
                <w:b/>
                <w:bCs/>
                <w:color w:val="000000"/>
                <w:sz w:val="23"/>
                <w:szCs w:val="23"/>
              </w:rPr>
              <w:t xml:space="preserve">                                               </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CJC-131</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covers the history/evolution/principles and contemporary applications of criminal law. Topics include sources of substantive law, classification of crimes, parties to crime, elements of crimes, matters of criminal responsibility, and other related topics. Upon completion, students should be able to discuss the sources of law and identify, interpret, and apply the appropriate statutes/elements.</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53"/>
        <w:gridCol w:w="2508"/>
      </w:tblGrid>
      <w:tr w:rsidR="00D207C0" w:rsidRPr="00D207C0" w:rsidTr="00D207C0">
        <w:trPr>
          <w:tblCellSpacing w:w="15" w:type="dxa"/>
          <w:jc w:val="center"/>
        </w:trPr>
        <w:tc>
          <w:tcPr>
            <w:tcW w:w="99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 xml:space="preserve">State </w:t>
            </w:r>
            <w:proofErr w:type="spellStart"/>
            <w:r w:rsidRPr="00D207C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r w:rsidR="00D207C0" w:rsidRPr="00D207C0" w:rsidTr="00D207C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CJC-225</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Crisis Intervention</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CJC-225</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introduces critical incident intervention and management techniques as they apply to operational criminal justice practitioners. Emphasis is placed on the victim/offender situation as well as job-related high stress, dangerous, or problem-solving citizen contacts. Upon completion, students should be able to provide insightful analysis of emotional, violent, drug-induced, and other critical and/or stressful incidents that require field analysis and/or resolution.</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674"/>
        <w:gridCol w:w="1787"/>
      </w:tblGrid>
      <w:tr w:rsidR="00D207C0" w:rsidRPr="00D207C0" w:rsidTr="00D207C0">
        <w:trPr>
          <w:tblCellSpacing w:w="15" w:type="dxa"/>
          <w:jc w:val="center"/>
        </w:trPr>
        <w:tc>
          <w:tcPr>
            <w:tcW w:w="990" w:type="pct"/>
            <w:shd w:val="clear" w:color="auto" w:fill="FFFFFF"/>
            <w:tcMar>
              <w:top w:w="30" w:type="dxa"/>
              <w:left w:w="90" w:type="dxa"/>
              <w:bottom w:w="30" w:type="dxa"/>
              <w:right w:w="90" w:type="dxa"/>
            </w:tcMar>
            <w:hideMark/>
          </w:tcPr>
          <w:p w:rsid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 xml:space="preserve">State </w:t>
            </w:r>
            <w:proofErr w:type="spellStart"/>
            <w:r w:rsidRPr="00D207C0">
              <w:rPr>
                <w:rFonts w:ascii="Arial" w:eastAsia="Times New Roman" w:hAnsi="Arial" w:cs="Arial"/>
                <w:color w:val="000000"/>
                <w:sz w:val="23"/>
                <w:szCs w:val="23"/>
              </w:rPr>
              <w:t>Corequisites</w:t>
            </w:r>
            <w:proofErr w:type="spellEnd"/>
          </w:p>
          <w:p w:rsidR="00D207C0" w:rsidRPr="00D207C0" w:rsidRDefault="00D207C0" w:rsidP="00D207C0">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r w:rsidR="00D207C0" w:rsidRPr="00D207C0" w:rsidTr="00D207C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lastRenderedPageBreak/>
              <w:t>CJC-241</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Community-Based Corrections</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CJC-241</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covers programs for convicted offenders that are used both as alternatives to incarceration and in post-incarceration situations. Topics include offenders, diversion, house arrest, restitution, community service, probation and parole, including both public and private participation, and other related topics. Upon completion, students should be able to identify/discuss the various programs from the perspective of the criminal justice professional, the offender, and the community.</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67"/>
        <w:gridCol w:w="2094"/>
      </w:tblGrid>
      <w:tr w:rsidR="00D207C0" w:rsidRPr="00D207C0" w:rsidTr="00D207C0">
        <w:trPr>
          <w:tblCellSpacing w:w="15" w:type="dxa"/>
          <w:jc w:val="center"/>
        </w:trPr>
        <w:tc>
          <w:tcPr>
            <w:tcW w:w="99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 xml:space="preserve">State </w:t>
            </w:r>
            <w:proofErr w:type="spellStart"/>
            <w:r w:rsidRPr="00D207C0">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r w:rsidR="00D207C0" w:rsidRPr="00D207C0" w:rsidTr="00D207C0">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SOC-210</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b/>
                <w:bCs/>
                <w:color w:val="000000"/>
                <w:sz w:val="23"/>
                <w:szCs w:val="23"/>
              </w:rPr>
            </w:pPr>
            <w:r w:rsidRPr="00D207C0">
              <w:rPr>
                <w:rFonts w:ascii="Arial" w:eastAsia="Times New Roman" w:hAnsi="Arial" w:cs="Arial"/>
                <w:b/>
                <w:bCs/>
                <w:color w:val="000000"/>
                <w:sz w:val="23"/>
                <w:szCs w:val="23"/>
              </w:rPr>
              <w:t>SOC-210</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207C0" w:rsidRPr="00D207C0" w:rsidTr="00D207C0">
        <w:trPr>
          <w:tblCellSpacing w:w="15" w:type="dxa"/>
          <w:jc w:val="center"/>
        </w:trPr>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Times New Roman" w:eastAsia="Times New Roman" w:hAnsi="Times New Roman" w:cs="Times New Roman"/>
                <w:sz w:val="24"/>
                <w:szCs w:val="24"/>
              </w:rPr>
            </w:pP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207C0" w:rsidRPr="00D207C0" w:rsidTr="00D207C0">
        <w:trPr>
          <w:tblCellSpacing w:w="15" w:type="dxa"/>
          <w:jc w:val="center"/>
        </w:trPr>
        <w:tc>
          <w:tcPr>
            <w:tcW w:w="100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 xml:space="preserve">State </w:t>
            </w:r>
            <w:proofErr w:type="spellStart"/>
            <w:r w:rsidRPr="00D207C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None</w:t>
            </w:r>
          </w:p>
        </w:tc>
      </w:tr>
    </w:tbl>
    <w:p w:rsidR="00D207C0" w:rsidRPr="00D207C0" w:rsidRDefault="00D207C0" w:rsidP="00D207C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13"/>
        <w:gridCol w:w="3048"/>
      </w:tblGrid>
      <w:tr w:rsidR="00D207C0" w:rsidRPr="00D207C0" w:rsidTr="00CC675F">
        <w:trPr>
          <w:tblCellSpacing w:w="15" w:type="dxa"/>
          <w:jc w:val="center"/>
        </w:trPr>
        <w:tc>
          <w:tcPr>
            <w:tcW w:w="990" w:type="pct"/>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207C0" w:rsidRPr="00D207C0" w:rsidRDefault="00D207C0" w:rsidP="00D207C0">
            <w:pPr>
              <w:spacing w:after="0" w:line="240" w:lineRule="auto"/>
              <w:rPr>
                <w:rFonts w:ascii="Arial" w:eastAsia="Times New Roman" w:hAnsi="Arial" w:cs="Arial"/>
                <w:color w:val="000000"/>
                <w:sz w:val="23"/>
                <w:szCs w:val="23"/>
              </w:rPr>
            </w:pPr>
            <w:r w:rsidRPr="00D207C0">
              <w:rPr>
                <w:rFonts w:ascii="Arial" w:eastAsia="Times New Roman" w:hAnsi="Arial" w:cs="Arial"/>
                <w:color w:val="000000"/>
                <w:sz w:val="23"/>
                <w:szCs w:val="23"/>
              </w:rPr>
              <w:t>This course has been approved for transfer under the CAA as a general education course in Social/Behavioral Sciences.</w:t>
            </w:r>
            <w:r w:rsidRPr="00D207C0">
              <w:rPr>
                <w:rFonts w:ascii="Arial" w:eastAsia="Times New Roman" w:hAnsi="Arial" w:cs="Arial"/>
                <w:color w:val="000000"/>
                <w:sz w:val="23"/>
                <w:szCs w:val="23"/>
              </w:rPr>
              <w:br/>
              <w:t>This course has been approved for transfer under the ICAA as a general education course in Social/Behavioral Sciences.</w:t>
            </w:r>
          </w:p>
        </w:tc>
      </w:tr>
      <w:tr w:rsidR="00CC675F" w:rsidRPr="00CC675F" w:rsidTr="00CC675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b/>
                <w:bCs/>
                <w:color w:val="000000"/>
                <w:sz w:val="23"/>
                <w:szCs w:val="23"/>
              </w:rPr>
            </w:pPr>
            <w:r w:rsidRPr="00CC675F">
              <w:rPr>
                <w:rFonts w:ascii="Arial" w:eastAsia="Times New Roman" w:hAnsi="Arial" w:cs="Arial"/>
                <w:b/>
                <w:bCs/>
                <w:color w:val="000000"/>
                <w:sz w:val="23"/>
                <w:szCs w:val="23"/>
              </w:rPr>
              <w:t>WBL-110</w:t>
            </w:r>
          </w:p>
        </w:tc>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b/>
                <w:bCs/>
                <w:color w:val="000000"/>
                <w:sz w:val="23"/>
                <w:szCs w:val="23"/>
              </w:rPr>
            </w:pPr>
            <w:r w:rsidRPr="00CC675F">
              <w:rPr>
                <w:rFonts w:ascii="Arial" w:eastAsia="Times New Roman" w:hAnsi="Arial" w:cs="Arial"/>
                <w:b/>
                <w:bCs/>
                <w:color w:val="000000"/>
                <w:sz w:val="23"/>
                <w:szCs w:val="23"/>
              </w:rPr>
              <w:t>World of Work</w:t>
            </w:r>
          </w:p>
        </w:tc>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b/>
                <w:bCs/>
                <w:color w:val="000000"/>
                <w:sz w:val="23"/>
                <w:szCs w:val="23"/>
              </w:rPr>
            </w:pPr>
            <w:r w:rsidRPr="00CC675F">
              <w:rPr>
                <w:rFonts w:ascii="Arial" w:eastAsia="Times New Roman" w:hAnsi="Arial" w:cs="Arial"/>
                <w:b/>
                <w:bCs/>
                <w:color w:val="000000"/>
                <w:sz w:val="23"/>
                <w:szCs w:val="23"/>
              </w:rPr>
              <w:t>WBL-110</w:t>
            </w:r>
          </w:p>
        </w:tc>
      </w:tr>
    </w:tbl>
    <w:p w:rsidR="00CC675F" w:rsidRPr="00CC675F" w:rsidRDefault="00CC675F" w:rsidP="00CC675F">
      <w:pPr>
        <w:spacing w:after="0" w:line="240" w:lineRule="auto"/>
        <w:rPr>
          <w:rFonts w:ascii="Times New Roman" w:eastAsia="Times New Roman" w:hAnsi="Times New Roman" w:cs="Times New Roman"/>
          <w:vanish/>
          <w:sz w:val="24"/>
          <w:szCs w:val="24"/>
        </w:rPr>
      </w:pPr>
    </w:p>
    <w:p w:rsidR="00CC675F" w:rsidRPr="00CC675F" w:rsidRDefault="00CC675F" w:rsidP="00CC67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675F" w:rsidRPr="00CC675F" w:rsidTr="00CC675F">
        <w:trPr>
          <w:tblCellSpacing w:w="15" w:type="dxa"/>
        </w:trPr>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color w:val="000000"/>
                <w:sz w:val="23"/>
                <w:szCs w:val="23"/>
              </w:rPr>
            </w:pPr>
            <w:r w:rsidRPr="00CC675F">
              <w:rPr>
                <w:rFonts w:ascii="Arial" w:eastAsia="Times New Roman" w:hAnsi="Arial" w:cs="Arial"/>
                <w:color w:val="000000"/>
                <w:sz w:val="23"/>
                <w:szCs w:val="23"/>
              </w:rPr>
              <w:t>This course covers basic knowledge necessary for gaining and maintaining employment. Topics include job search skills, work ethic, meeting employer expectations, workplace safety, and human relations. Upon completion, students should be able to successfully make the transition from school to work.</w:t>
            </w:r>
          </w:p>
        </w:tc>
      </w:tr>
    </w:tbl>
    <w:p w:rsidR="00CC675F" w:rsidRPr="00CC675F" w:rsidRDefault="00CC675F" w:rsidP="00CC67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675F" w:rsidRPr="00CC675F" w:rsidTr="00CC675F">
        <w:trPr>
          <w:tblCellSpacing w:w="15" w:type="dxa"/>
          <w:jc w:val="center"/>
        </w:trPr>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Times New Roman" w:eastAsia="Times New Roman" w:hAnsi="Times New Roman" w:cs="Times New Roman"/>
                <w:sz w:val="24"/>
                <w:szCs w:val="24"/>
              </w:rPr>
            </w:pPr>
          </w:p>
        </w:tc>
      </w:tr>
    </w:tbl>
    <w:p w:rsidR="00CC675F" w:rsidRPr="00CC675F" w:rsidRDefault="00CC675F" w:rsidP="00CC67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675F" w:rsidRPr="00CC675F" w:rsidTr="00CC675F">
        <w:trPr>
          <w:tblCellSpacing w:w="15" w:type="dxa"/>
          <w:jc w:val="center"/>
        </w:trPr>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Times New Roman" w:eastAsia="Times New Roman" w:hAnsi="Times New Roman" w:cs="Times New Roman"/>
                <w:sz w:val="24"/>
                <w:szCs w:val="24"/>
              </w:rPr>
            </w:pPr>
          </w:p>
        </w:tc>
      </w:tr>
    </w:tbl>
    <w:p w:rsidR="00CC675F" w:rsidRPr="00CC675F" w:rsidRDefault="00CC675F" w:rsidP="00CC67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C675F" w:rsidRPr="00CC675F" w:rsidTr="00CC675F">
        <w:trPr>
          <w:tblCellSpacing w:w="15" w:type="dxa"/>
          <w:jc w:val="center"/>
        </w:trPr>
        <w:tc>
          <w:tcPr>
            <w:tcW w:w="1000" w:type="pct"/>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color w:val="000000"/>
                <w:sz w:val="23"/>
                <w:szCs w:val="23"/>
              </w:rPr>
            </w:pPr>
            <w:r w:rsidRPr="00CC675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color w:val="000000"/>
                <w:sz w:val="23"/>
                <w:szCs w:val="23"/>
              </w:rPr>
            </w:pPr>
            <w:r w:rsidRPr="00CC675F">
              <w:rPr>
                <w:rFonts w:ascii="Arial" w:eastAsia="Times New Roman" w:hAnsi="Arial" w:cs="Arial"/>
                <w:color w:val="000000"/>
                <w:sz w:val="23"/>
                <w:szCs w:val="23"/>
              </w:rPr>
              <w:t>None</w:t>
            </w:r>
          </w:p>
        </w:tc>
      </w:tr>
    </w:tbl>
    <w:p w:rsidR="00CC675F" w:rsidRPr="00CC675F" w:rsidRDefault="00CC675F" w:rsidP="00CC675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C675F" w:rsidRPr="00CC675F" w:rsidTr="00CC675F">
        <w:trPr>
          <w:tblCellSpacing w:w="15" w:type="dxa"/>
          <w:jc w:val="center"/>
        </w:trPr>
        <w:tc>
          <w:tcPr>
            <w:tcW w:w="1000" w:type="pct"/>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color w:val="000000"/>
                <w:sz w:val="23"/>
                <w:szCs w:val="23"/>
              </w:rPr>
            </w:pPr>
            <w:r w:rsidRPr="00CC675F">
              <w:rPr>
                <w:rFonts w:ascii="Arial" w:eastAsia="Times New Roman" w:hAnsi="Arial" w:cs="Arial"/>
                <w:color w:val="000000"/>
                <w:sz w:val="23"/>
                <w:szCs w:val="23"/>
              </w:rPr>
              <w:t xml:space="preserve">State </w:t>
            </w:r>
            <w:proofErr w:type="spellStart"/>
            <w:r w:rsidRPr="00CC675F">
              <w:rPr>
                <w:rFonts w:ascii="Arial" w:eastAsia="Times New Roman" w:hAnsi="Arial" w:cs="Arial"/>
                <w:color w:val="000000"/>
                <w:sz w:val="23"/>
                <w:szCs w:val="23"/>
              </w:rPr>
              <w:t>Corequisites</w:t>
            </w:r>
            <w:bookmarkStart w:id="0" w:name="_GoBack"/>
            <w:bookmarkEnd w:id="0"/>
            <w:proofErr w:type="spellEnd"/>
          </w:p>
        </w:tc>
        <w:tc>
          <w:tcPr>
            <w:tcW w:w="0" w:type="auto"/>
            <w:shd w:val="clear" w:color="auto" w:fill="FFFFFF"/>
            <w:tcMar>
              <w:top w:w="30" w:type="dxa"/>
              <w:left w:w="90" w:type="dxa"/>
              <w:bottom w:w="30" w:type="dxa"/>
              <w:right w:w="90" w:type="dxa"/>
            </w:tcMar>
            <w:hideMark/>
          </w:tcPr>
          <w:p w:rsidR="00CC675F" w:rsidRPr="00CC675F" w:rsidRDefault="00CC675F" w:rsidP="00CC675F">
            <w:pPr>
              <w:spacing w:after="0" w:line="240" w:lineRule="auto"/>
              <w:rPr>
                <w:rFonts w:ascii="Arial" w:eastAsia="Times New Roman" w:hAnsi="Arial" w:cs="Arial"/>
                <w:color w:val="000000"/>
                <w:sz w:val="23"/>
                <w:szCs w:val="23"/>
              </w:rPr>
            </w:pPr>
            <w:r w:rsidRPr="00CC675F">
              <w:rPr>
                <w:rFonts w:ascii="Arial" w:eastAsia="Times New Roman" w:hAnsi="Arial" w:cs="Arial"/>
                <w:color w:val="000000"/>
                <w:sz w:val="23"/>
                <w:szCs w:val="23"/>
              </w:rPr>
              <w:t>None</w:t>
            </w:r>
          </w:p>
        </w:tc>
      </w:tr>
    </w:tbl>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Default="00673F59" w:rsidP="001F21E2">
      <w:pPr>
        <w:rPr>
          <w:b/>
          <w:sz w:val="24"/>
          <w:szCs w:val="24"/>
        </w:rPr>
      </w:pPr>
    </w:p>
    <w:p w:rsidR="00673F59" w:rsidRPr="00A429BE" w:rsidRDefault="00673F59" w:rsidP="001F21E2">
      <w:pPr>
        <w:rPr>
          <w:b/>
          <w:sz w:val="24"/>
          <w:szCs w:val="24"/>
        </w:rPr>
      </w:pPr>
    </w:p>
    <w:sectPr w:rsidR="00673F59" w:rsidRPr="00A4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E"/>
    <w:rsid w:val="000800A4"/>
    <w:rsid w:val="001F21E2"/>
    <w:rsid w:val="003D168C"/>
    <w:rsid w:val="004306BF"/>
    <w:rsid w:val="005E531E"/>
    <w:rsid w:val="00673F59"/>
    <w:rsid w:val="00806608"/>
    <w:rsid w:val="00A429BE"/>
    <w:rsid w:val="00A71616"/>
    <w:rsid w:val="00B10CFE"/>
    <w:rsid w:val="00CC675F"/>
    <w:rsid w:val="00D2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A412"/>
  <w15:chartTrackingRefBased/>
  <w15:docId w15:val="{D4B9D698-2485-4EC9-AC1D-F2E0A663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292">
      <w:bodyDiv w:val="1"/>
      <w:marLeft w:val="0"/>
      <w:marRight w:val="0"/>
      <w:marTop w:val="0"/>
      <w:marBottom w:val="0"/>
      <w:divBdr>
        <w:top w:val="none" w:sz="0" w:space="0" w:color="auto"/>
        <w:left w:val="none" w:sz="0" w:space="0" w:color="auto"/>
        <w:bottom w:val="none" w:sz="0" w:space="0" w:color="auto"/>
        <w:right w:val="none" w:sz="0" w:space="0" w:color="auto"/>
      </w:divBdr>
    </w:div>
    <w:div w:id="81992154">
      <w:bodyDiv w:val="1"/>
      <w:marLeft w:val="0"/>
      <w:marRight w:val="0"/>
      <w:marTop w:val="0"/>
      <w:marBottom w:val="0"/>
      <w:divBdr>
        <w:top w:val="none" w:sz="0" w:space="0" w:color="auto"/>
        <w:left w:val="none" w:sz="0" w:space="0" w:color="auto"/>
        <w:bottom w:val="none" w:sz="0" w:space="0" w:color="auto"/>
        <w:right w:val="none" w:sz="0" w:space="0" w:color="auto"/>
      </w:divBdr>
    </w:div>
    <w:div w:id="87973255">
      <w:bodyDiv w:val="1"/>
      <w:marLeft w:val="0"/>
      <w:marRight w:val="0"/>
      <w:marTop w:val="0"/>
      <w:marBottom w:val="0"/>
      <w:divBdr>
        <w:top w:val="none" w:sz="0" w:space="0" w:color="auto"/>
        <w:left w:val="none" w:sz="0" w:space="0" w:color="auto"/>
        <w:bottom w:val="none" w:sz="0" w:space="0" w:color="auto"/>
        <w:right w:val="none" w:sz="0" w:space="0" w:color="auto"/>
      </w:divBdr>
    </w:div>
    <w:div w:id="279730217">
      <w:bodyDiv w:val="1"/>
      <w:marLeft w:val="0"/>
      <w:marRight w:val="0"/>
      <w:marTop w:val="0"/>
      <w:marBottom w:val="0"/>
      <w:divBdr>
        <w:top w:val="none" w:sz="0" w:space="0" w:color="auto"/>
        <w:left w:val="none" w:sz="0" w:space="0" w:color="auto"/>
        <w:bottom w:val="none" w:sz="0" w:space="0" w:color="auto"/>
        <w:right w:val="none" w:sz="0" w:space="0" w:color="auto"/>
      </w:divBdr>
    </w:div>
    <w:div w:id="381373022">
      <w:bodyDiv w:val="1"/>
      <w:marLeft w:val="0"/>
      <w:marRight w:val="0"/>
      <w:marTop w:val="0"/>
      <w:marBottom w:val="0"/>
      <w:divBdr>
        <w:top w:val="none" w:sz="0" w:space="0" w:color="auto"/>
        <w:left w:val="none" w:sz="0" w:space="0" w:color="auto"/>
        <w:bottom w:val="none" w:sz="0" w:space="0" w:color="auto"/>
        <w:right w:val="none" w:sz="0" w:space="0" w:color="auto"/>
      </w:divBdr>
    </w:div>
    <w:div w:id="437599619">
      <w:bodyDiv w:val="1"/>
      <w:marLeft w:val="0"/>
      <w:marRight w:val="0"/>
      <w:marTop w:val="0"/>
      <w:marBottom w:val="0"/>
      <w:divBdr>
        <w:top w:val="none" w:sz="0" w:space="0" w:color="auto"/>
        <w:left w:val="none" w:sz="0" w:space="0" w:color="auto"/>
        <w:bottom w:val="none" w:sz="0" w:space="0" w:color="auto"/>
        <w:right w:val="none" w:sz="0" w:space="0" w:color="auto"/>
      </w:divBdr>
    </w:div>
    <w:div w:id="478428337">
      <w:bodyDiv w:val="1"/>
      <w:marLeft w:val="0"/>
      <w:marRight w:val="0"/>
      <w:marTop w:val="0"/>
      <w:marBottom w:val="0"/>
      <w:divBdr>
        <w:top w:val="none" w:sz="0" w:space="0" w:color="auto"/>
        <w:left w:val="none" w:sz="0" w:space="0" w:color="auto"/>
        <w:bottom w:val="none" w:sz="0" w:space="0" w:color="auto"/>
        <w:right w:val="none" w:sz="0" w:space="0" w:color="auto"/>
      </w:divBdr>
    </w:div>
    <w:div w:id="508183687">
      <w:bodyDiv w:val="1"/>
      <w:marLeft w:val="0"/>
      <w:marRight w:val="0"/>
      <w:marTop w:val="0"/>
      <w:marBottom w:val="0"/>
      <w:divBdr>
        <w:top w:val="none" w:sz="0" w:space="0" w:color="auto"/>
        <w:left w:val="none" w:sz="0" w:space="0" w:color="auto"/>
        <w:bottom w:val="none" w:sz="0" w:space="0" w:color="auto"/>
        <w:right w:val="none" w:sz="0" w:space="0" w:color="auto"/>
      </w:divBdr>
    </w:div>
    <w:div w:id="618494150">
      <w:bodyDiv w:val="1"/>
      <w:marLeft w:val="0"/>
      <w:marRight w:val="0"/>
      <w:marTop w:val="0"/>
      <w:marBottom w:val="0"/>
      <w:divBdr>
        <w:top w:val="none" w:sz="0" w:space="0" w:color="auto"/>
        <w:left w:val="none" w:sz="0" w:space="0" w:color="auto"/>
        <w:bottom w:val="none" w:sz="0" w:space="0" w:color="auto"/>
        <w:right w:val="none" w:sz="0" w:space="0" w:color="auto"/>
      </w:divBdr>
    </w:div>
    <w:div w:id="704990347">
      <w:bodyDiv w:val="1"/>
      <w:marLeft w:val="0"/>
      <w:marRight w:val="0"/>
      <w:marTop w:val="0"/>
      <w:marBottom w:val="0"/>
      <w:divBdr>
        <w:top w:val="none" w:sz="0" w:space="0" w:color="auto"/>
        <w:left w:val="none" w:sz="0" w:space="0" w:color="auto"/>
        <w:bottom w:val="none" w:sz="0" w:space="0" w:color="auto"/>
        <w:right w:val="none" w:sz="0" w:space="0" w:color="auto"/>
      </w:divBdr>
    </w:div>
    <w:div w:id="748773488">
      <w:bodyDiv w:val="1"/>
      <w:marLeft w:val="0"/>
      <w:marRight w:val="0"/>
      <w:marTop w:val="0"/>
      <w:marBottom w:val="0"/>
      <w:divBdr>
        <w:top w:val="none" w:sz="0" w:space="0" w:color="auto"/>
        <w:left w:val="none" w:sz="0" w:space="0" w:color="auto"/>
        <w:bottom w:val="none" w:sz="0" w:space="0" w:color="auto"/>
        <w:right w:val="none" w:sz="0" w:space="0" w:color="auto"/>
      </w:divBdr>
    </w:div>
    <w:div w:id="800227083">
      <w:bodyDiv w:val="1"/>
      <w:marLeft w:val="0"/>
      <w:marRight w:val="0"/>
      <w:marTop w:val="0"/>
      <w:marBottom w:val="0"/>
      <w:divBdr>
        <w:top w:val="none" w:sz="0" w:space="0" w:color="auto"/>
        <w:left w:val="none" w:sz="0" w:space="0" w:color="auto"/>
        <w:bottom w:val="none" w:sz="0" w:space="0" w:color="auto"/>
        <w:right w:val="none" w:sz="0" w:space="0" w:color="auto"/>
      </w:divBdr>
    </w:div>
    <w:div w:id="925767597">
      <w:bodyDiv w:val="1"/>
      <w:marLeft w:val="0"/>
      <w:marRight w:val="0"/>
      <w:marTop w:val="0"/>
      <w:marBottom w:val="0"/>
      <w:divBdr>
        <w:top w:val="none" w:sz="0" w:space="0" w:color="auto"/>
        <w:left w:val="none" w:sz="0" w:space="0" w:color="auto"/>
        <w:bottom w:val="none" w:sz="0" w:space="0" w:color="auto"/>
        <w:right w:val="none" w:sz="0" w:space="0" w:color="auto"/>
      </w:divBdr>
    </w:div>
    <w:div w:id="1139036429">
      <w:bodyDiv w:val="1"/>
      <w:marLeft w:val="0"/>
      <w:marRight w:val="0"/>
      <w:marTop w:val="0"/>
      <w:marBottom w:val="0"/>
      <w:divBdr>
        <w:top w:val="none" w:sz="0" w:space="0" w:color="auto"/>
        <w:left w:val="none" w:sz="0" w:space="0" w:color="auto"/>
        <w:bottom w:val="none" w:sz="0" w:space="0" w:color="auto"/>
        <w:right w:val="none" w:sz="0" w:space="0" w:color="auto"/>
      </w:divBdr>
    </w:div>
    <w:div w:id="1148324010">
      <w:bodyDiv w:val="1"/>
      <w:marLeft w:val="0"/>
      <w:marRight w:val="0"/>
      <w:marTop w:val="0"/>
      <w:marBottom w:val="0"/>
      <w:divBdr>
        <w:top w:val="none" w:sz="0" w:space="0" w:color="auto"/>
        <w:left w:val="none" w:sz="0" w:space="0" w:color="auto"/>
        <w:bottom w:val="none" w:sz="0" w:space="0" w:color="auto"/>
        <w:right w:val="none" w:sz="0" w:space="0" w:color="auto"/>
      </w:divBdr>
    </w:div>
    <w:div w:id="1250390118">
      <w:bodyDiv w:val="1"/>
      <w:marLeft w:val="0"/>
      <w:marRight w:val="0"/>
      <w:marTop w:val="0"/>
      <w:marBottom w:val="0"/>
      <w:divBdr>
        <w:top w:val="none" w:sz="0" w:space="0" w:color="auto"/>
        <w:left w:val="none" w:sz="0" w:space="0" w:color="auto"/>
        <w:bottom w:val="none" w:sz="0" w:space="0" w:color="auto"/>
        <w:right w:val="none" w:sz="0" w:space="0" w:color="auto"/>
      </w:divBdr>
    </w:div>
    <w:div w:id="1361013554">
      <w:bodyDiv w:val="1"/>
      <w:marLeft w:val="0"/>
      <w:marRight w:val="0"/>
      <w:marTop w:val="0"/>
      <w:marBottom w:val="0"/>
      <w:divBdr>
        <w:top w:val="none" w:sz="0" w:space="0" w:color="auto"/>
        <w:left w:val="none" w:sz="0" w:space="0" w:color="auto"/>
        <w:bottom w:val="none" w:sz="0" w:space="0" w:color="auto"/>
        <w:right w:val="none" w:sz="0" w:space="0" w:color="auto"/>
      </w:divBdr>
    </w:div>
    <w:div w:id="1488322753">
      <w:bodyDiv w:val="1"/>
      <w:marLeft w:val="0"/>
      <w:marRight w:val="0"/>
      <w:marTop w:val="0"/>
      <w:marBottom w:val="0"/>
      <w:divBdr>
        <w:top w:val="none" w:sz="0" w:space="0" w:color="auto"/>
        <w:left w:val="none" w:sz="0" w:space="0" w:color="auto"/>
        <w:bottom w:val="none" w:sz="0" w:space="0" w:color="auto"/>
        <w:right w:val="none" w:sz="0" w:space="0" w:color="auto"/>
      </w:divBdr>
    </w:div>
    <w:div w:id="1584561031">
      <w:bodyDiv w:val="1"/>
      <w:marLeft w:val="0"/>
      <w:marRight w:val="0"/>
      <w:marTop w:val="0"/>
      <w:marBottom w:val="0"/>
      <w:divBdr>
        <w:top w:val="none" w:sz="0" w:space="0" w:color="auto"/>
        <w:left w:val="none" w:sz="0" w:space="0" w:color="auto"/>
        <w:bottom w:val="none" w:sz="0" w:space="0" w:color="auto"/>
        <w:right w:val="none" w:sz="0" w:space="0" w:color="auto"/>
      </w:divBdr>
    </w:div>
    <w:div w:id="1673409657">
      <w:bodyDiv w:val="1"/>
      <w:marLeft w:val="0"/>
      <w:marRight w:val="0"/>
      <w:marTop w:val="0"/>
      <w:marBottom w:val="0"/>
      <w:divBdr>
        <w:top w:val="none" w:sz="0" w:space="0" w:color="auto"/>
        <w:left w:val="none" w:sz="0" w:space="0" w:color="auto"/>
        <w:bottom w:val="none" w:sz="0" w:space="0" w:color="auto"/>
        <w:right w:val="none" w:sz="0" w:space="0" w:color="auto"/>
      </w:divBdr>
    </w:div>
    <w:div w:id="1721129814">
      <w:bodyDiv w:val="1"/>
      <w:marLeft w:val="0"/>
      <w:marRight w:val="0"/>
      <w:marTop w:val="0"/>
      <w:marBottom w:val="0"/>
      <w:divBdr>
        <w:top w:val="none" w:sz="0" w:space="0" w:color="auto"/>
        <w:left w:val="none" w:sz="0" w:space="0" w:color="auto"/>
        <w:bottom w:val="none" w:sz="0" w:space="0" w:color="auto"/>
        <w:right w:val="none" w:sz="0" w:space="0" w:color="auto"/>
      </w:divBdr>
    </w:div>
    <w:div w:id="1769424116">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918321543">
      <w:bodyDiv w:val="1"/>
      <w:marLeft w:val="0"/>
      <w:marRight w:val="0"/>
      <w:marTop w:val="0"/>
      <w:marBottom w:val="0"/>
      <w:divBdr>
        <w:top w:val="none" w:sz="0" w:space="0" w:color="auto"/>
        <w:left w:val="none" w:sz="0" w:space="0" w:color="auto"/>
        <w:bottom w:val="none" w:sz="0" w:space="0" w:color="auto"/>
        <w:right w:val="none" w:sz="0" w:space="0" w:color="auto"/>
      </w:divBdr>
    </w:div>
    <w:div w:id="1936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2020-05-28T15:39:00Z</dcterms:created>
  <dcterms:modified xsi:type="dcterms:W3CDTF">2020-05-28T15:39:00Z</dcterms:modified>
</cp:coreProperties>
</file>