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0"/>
        <w:gridCol w:w="4036"/>
        <w:gridCol w:w="189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Intro to Refrigeration</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S23419</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6</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5</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the basic refrigeration process used in mechanical refrigeration and air conditioning systems. Topics include terminology, safety, and identification and function of components; refrigeration cycle; and tools and instrumentation used in mechanical refrigeration systems. Upon completion, students should be able to identify refrigeration systems and components, explain the refrigeration process, and use the tools and instrumentation of the trade.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Identify and explain the theory, operating principle, and components of the refrigeration cycle.</w:t>
            </w:r>
            <w:r w:rsidRPr="00E12AE4">
              <w:rPr>
                <w:rFonts w:ascii="Arial" w:eastAsia="Times New Roman" w:hAnsi="Arial" w:cs="Arial"/>
                <w:color w:val="000000"/>
                <w:sz w:val="23"/>
                <w:szCs w:val="23"/>
              </w:rPr>
              <w:br/>
              <w:t>3. Identify tools, materials, and equipment used in the refrigeration industry.</w:t>
            </w:r>
            <w:r w:rsidRPr="00E12AE4">
              <w:rPr>
                <w:rFonts w:ascii="Arial" w:eastAsia="Times New Roman" w:hAnsi="Arial" w:cs="Arial"/>
                <w:color w:val="000000"/>
                <w:sz w:val="23"/>
                <w:szCs w:val="23"/>
              </w:rPr>
              <w:br/>
              <w:t>4. Evacuate, charge, recover, and safely operate a basic refrigeration /cooling system in accordance with EPA regulations.</w:t>
            </w:r>
            <w:r w:rsidRPr="00E12AE4">
              <w:rPr>
                <w:rFonts w:ascii="Arial" w:eastAsia="Times New Roman" w:hAnsi="Arial" w:cs="Arial"/>
                <w:color w:val="000000"/>
                <w:sz w:val="23"/>
                <w:szCs w:val="23"/>
              </w:rPr>
              <w:br/>
              <w:t>5. Demonstrate refrigeration piping and soldering techniques.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2"/>
        <w:gridCol w:w="3739"/>
        <w:gridCol w:w="1999"/>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Electricity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S23420</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electricity as it applies to HVACR equipment. Emphasis is placed on power sources, interaction of electrical components, wiring of simple circuits, and the use of electrical test equipment. Upon completion, students should be able to demonstrate good wiring practices and the ability to read simple wiring diagrams.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Be able to use electrical test instruments.</w:t>
            </w:r>
            <w:r w:rsidRPr="00E12AE4">
              <w:rPr>
                <w:rFonts w:ascii="Arial" w:eastAsia="Times New Roman" w:hAnsi="Arial" w:cs="Arial"/>
                <w:color w:val="000000"/>
                <w:sz w:val="23"/>
                <w:szCs w:val="23"/>
              </w:rPr>
              <w:br/>
              <w:t>3. Demonstrate knowledge of electricity as applied to heating, ventilation, air conditioning and refrigeration machines.</w:t>
            </w:r>
            <w:r w:rsidRPr="00E12AE4">
              <w:rPr>
                <w:rFonts w:ascii="Arial" w:eastAsia="Times New Roman" w:hAnsi="Arial" w:cs="Arial"/>
                <w:color w:val="000000"/>
                <w:sz w:val="23"/>
                <w:szCs w:val="23"/>
              </w:rPr>
              <w:br/>
              <w:t>4. Identify the various electrical components used in HVAC equipment and explain their operation.</w:t>
            </w:r>
            <w:r w:rsidRPr="00E12AE4">
              <w:rPr>
                <w:rFonts w:ascii="Arial" w:eastAsia="Times New Roman" w:hAnsi="Arial" w:cs="Arial"/>
                <w:color w:val="000000"/>
                <w:sz w:val="23"/>
                <w:szCs w:val="23"/>
              </w:rPr>
              <w:br/>
              <w:t>5. Use Ohm's Law to calculate the current, voltage, and resistance in a circuit.</w:t>
            </w:r>
            <w:r w:rsidRPr="00E12AE4">
              <w:rPr>
                <w:rFonts w:ascii="Arial" w:eastAsia="Times New Roman" w:hAnsi="Arial" w:cs="Arial"/>
                <w:color w:val="000000"/>
                <w:sz w:val="23"/>
                <w:szCs w:val="23"/>
              </w:rPr>
              <w:br/>
              <w:t>6. Draw and interpret wiring schematics for installation and troubleshooting.</w:t>
            </w:r>
            <w:r w:rsidRPr="00E12AE4">
              <w:rPr>
                <w:rFonts w:ascii="Arial" w:eastAsia="Times New Roman" w:hAnsi="Arial" w:cs="Arial"/>
                <w:color w:val="000000"/>
                <w:sz w:val="23"/>
                <w:szCs w:val="23"/>
              </w:rPr>
              <w:br/>
              <w:t>7. Follow systematic troubleshooting procedure to diagnose electrical problems and control circuit problems.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4"/>
        <w:gridCol w:w="3952"/>
        <w:gridCol w:w="192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Heating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This course covers the fundamentals of heating including oil, gas, and electric heating systems. Topics include safety, tools and instrumentation, system operating characteristics, installation techniques, efficiency testing, electrical power, and control systems. Upon completion, students should be able to explain the basic oil, gas, and electrical heating systems and describe the major components of a heating system.</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Use industry terminology to describe principles for oil, gas, and electric warm air heating systems.</w:t>
            </w:r>
            <w:r w:rsidRPr="00E12AE4">
              <w:rPr>
                <w:rFonts w:ascii="Arial" w:eastAsia="Times New Roman" w:hAnsi="Arial" w:cs="Arial"/>
                <w:color w:val="000000"/>
                <w:sz w:val="23"/>
                <w:szCs w:val="23"/>
              </w:rPr>
              <w:br/>
              <w:t>3. Identify the major components of oil, gas, and electric heating systems.</w:t>
            </w:r>
            <w:r w:rsidRPr="00E12AE4">
              <w:rPr>
                <w:rFonts w:ascii="Arial" w:eastAsia="Times New Roman" w:hAnsi="Arial" w:cs="Arial"/>
                <w:color w:val="000000"/>
                <w:sz w:val="23"/>
                <w:szCs w:val="23"/>
              </w:rPr>
              <w:br/>
              <w:t>4. Install and start-up warm air heating systems.</w:t>
            </w:r>
            <w:r w:rsidRPr="00E12AE4">
              <w:rPr>
                <w:rFonts w:ascii="Arial" w:eastAsia="Times New Roman" w:hAnsi="Arial" w:cs="Arial"/>
                <w:color w:val="000000"/>
                <w:sz w:val="23"/>
                <w:szCs w:val="23"/>
              </w:rPr>
              <w:br/>
              <w:t>5. Identify various types of energy sources used in heating and describe the individual characteristics of each.</w:t>
            </w:r>
            <w:r w:rsidRPr="00E12AE4">
              <w:rPr>
                <w:rFonts w:ascii="Arial" w:eastAsia="Times New Roman" w:hAnsi="Arial" w:cs="Arial"/>
                <w:color w:val="000000"/>
                <w:sz w:val="23"/>
                <w:szCs w:val="23"/>
              </w:rPr>
              <w:br/>
              <w:t>6. Describe service procedures for heating systems.</w:t>
            </w:r>
            <w:r w:rsidRPr="00E12AE4">
              <w:rPr>
                <w:rFonts w:ascii="Arial" w:eastAsia="Times New Roman" w:hAnsi="Arial" w:cs="Arial"/>
                <w:color w:val="000000"/>
                <w:sz w:val="23"/>
                <w:szCs w:val="23"/>
              </w:rPr>
              <w:br/>
              <w:t>7. Use tools and instruments necessary to troubleshoot and test system efficiency.</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0"/>
        <w:gridCol w:w="3553"/>
        <w:gridCol w:w="2057"/>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Comfort Cooling</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S14131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2014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covers the installation procedures, system operations, and maintenance of residential and light commercial comfort cooling systems. Topics include terminology, component operation, and testing and repair of equipment used to control and produce assured comfort levels. Upon completion, students should be able to use </w:t>
            </w:r>
            <w:proofErr w:type="spellStart"/>
            <w:r w:rsidRPr="00E12AE4">
              <w:rPr>
                <w:rFonts w:ascii="Arial" w:eastAsia="Times New Roman" w:hAnsi="Arial" w:cs="Arial"/>
                <w:color w:val="000000"/>
                <w:sz w:val="23"/>
                <w:szCs w:val="23"/>
              </w:rPr>
              <w:t>psychrometrics</w:t>
            </w:r>
            <w:proofErr w:type="spellEnd"/>
            <w:r w:rsidRPr="00E12AE4">
              <w:rPr>
                <w:rFonts w:ascii="Arial" w:eastAsia="Times New Roman" w:hAnsi="Arial" w:cs="Arial"/>
                <w:color w:val="000000"/>
                <w:sz w:val="23"/>
                <w:szCs w:val="23"/>
              </w:rPr>
              <w:t>, manufacturer specifications, and test instruments to determine proper system operation.</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7"/>
        <w:gridCol w:w="4272"/>
        <w:gridCol w:w="181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 Pump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covers the principles of air source and water source heat pumps. Emphasis is placed on safety, modes of operation, defrost systems, refrigerant charging, and system performance. Upon completion, students should be able to understand and analyze system performance and perform routine service procedures.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Diagram refrigerant flow through a heat pump in both the heating and cooling mode identifying refrigerant conditions and pressures.</w:t>
            </w:r>
            <w:r w:rsidRPr="00E12AE4">
              <w:rPr>
                <w:rFonts w:ascii="Arial" w:eastAsia="Times New Roman" w:hAnsi="Arial" w:cs="Arial"/>
                <w:color w:val="000000"/>
                <w:sz w:val="23"/>
                <w:szCs w:val="23"/>
              </w:rPr>
              <w:br/>
              <w:t>3. Explain the defrost cycle for air-to-air heat pumps.</w:t>
            </w:r>
            <w:r w:rsidRPr="00E12AE4">
              <w:rPr>
                <w:rFonts w:ascii="Arial" w:eastAsia="Times New Roman" w:hAnsi="Arial" w:cs="Arial"/>
                <w:color w:val="000000"/>
                <w:sz w:val="23"/>
                <w:szCs w:val="23"/>
              </w:rPr>
              <w:br/>
              <w:t>4. Identify and troubleshoot electrical control system components for heat pumps.</w:t>
            </w:r>
            <w:r w:rsidRPr="00E12AE4">
              <w:rPr>
                <w:rFonts w:ascii="Arial" w:eastAsia="Times New Roman" w:hAnsi="Arial" w:cs="Arial"/>
                <w:color w:val="000000"/>
                <w:sz w:val="23"/>
                <w:szCs w:val="23"/>
              </w:rPr>
              <w:br/>
              <w:t>5. Identify and troubleshoot refrigeration system components for heat pumps.</w:t>
            </w:r>
            <w:r w:rsidRPr="00E12AE4">
              <w:rPr>
                <w:rFonts w:ascii="Arial" w:eastAsia="Times New Roman" w:hAnsi="Arial" w:cs="Arial"/>
                <w:color w:val="000000"/>
                <w:sz w:val="23"/>
                <w:szCs w:val="23"/>
              </w:rPr>
              <w:br/>
              <w:t>6. Identify and describe the different types of heat pumps in relation to their source of heat.</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One: AHR-110 or 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4"/>
        <w:gridCol w:w="4165"/>
        <w:gridCol w:w="184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AHR-115_1997SU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Refrigeration Systems</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AHR-115</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S14137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introduces refrigeration systems and applications. Topics include defrost methods, safety and operational control, refrigerant piping, refrigerant recovery and </w:t>
            </w:r>
            <w:r w:rsidRPr="00E12AE4">
              <w:rPr>
                <w:rFonts w:ascii="Arial" w:eastAsia="Times New Roman" w:hAnsi="Arial" w:cs="Arial"/>
                <w:color w:val="000000"/>
                <w:sz w:val="23"/>
                <w:szCs w:val="23"/>
              </w:rPr>
              <w:lastRenderedPageBreak/>
              <w:t>charging, and leak testing. Upon completion, students should be able to assist in installing and testing refrigeration systems and perform simple repairs.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AHR-110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1"/>
        <w:gridCol w:w="4015"/>
        <w:gridCol w:w="189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AHR-120_1997SU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Maintenance</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AHR-120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S13153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the basic principles of industrial air conditioning and heating systems. Emphasis is placed on preventive maintenance procedures for heating and cooling equipment and related components. Upon completion, students should be able to perform routine preventive maintenance tasks, maintain records, and assist in routine equipment repairs.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8"/>
        <w:gridCol w:w="3390"/>
        <w:gridCol w:w="212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Controls</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S23273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types of controls found in residential and commercial comfort systems. Topics include electrical and electronic controls, control schematics and diagrams, test instruments, and analysis and troubleshooting of electrical systems. Upon completion, students should be able to diagnose and repair common residential and commercial comfort system controls.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Take One: AHR-111, ELC-111, or ELC-112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8"/>
        <w:gridCol w:w="4097"/>
        <w:gridCol w:w="186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Duct Systems I</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S14323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the techniques used to lay out and fabricate duct work commonly found in HVAC systems. Emphasis is placed on the skills required to fabricate duct work. Upon completion, students should be able to lay out and fabricate simple duct work.</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9"/>
        <w:gridCol w:w="4326"/>
        <w:gridCol w:w="178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Refrigerant Certification</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S12778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requirements for the EPA certification examinations. Topics include small appliances, high pressure systems, and low pressure systems. Upon completion, students should be able to demonstrate knowledge of refrigerants and be prepared for the EPA certification examinations.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p w:rsidR="00B14426" w:rsidRDefault="00B14426"/>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4"/>
        <w:gridCol w:w="4026"/>
        <w:gridCol w:w="189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AHR-171_2008SU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Comfort Cooling Lab</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AHR-171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S22131</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2008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provides a laboratory experience in comfort cooling. Emphasis is placed on providing practical experience in installation, operations, and maintenance of residential and light commercial comfort cooling systems. Upon completion, students should be able to demonstrate an understanding of comfort cooling systems.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Take AHR-113</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0"/>
        <w:gridCol w:w="4649"/>
        <w:gridCol w:w="167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AHR-180_1997SU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HVACR Customer Relations</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AHR-180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S12067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common business and customer relation practices that may be encountered in HVACR. Topics include business practices, appearance of self and vehicle, ways of handling customer complaints, invoices, telephone communications, and warranties. Upon completion, students should be able to present themselves to customers in a professional manner, understand how the business operates, complete invoices, and handle complaints.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5"/>
        <w:gridCol w:w="3686"/>
        <w:gridCol w:w="1919"/>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ELC-111_1997SU</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Intro to Electricity</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ELC-111</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CIS Course ID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S11841</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Effective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Summer 1997</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End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Class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Lab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Clinical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Work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Credit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3</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This course introduces the fundamental concepts of electricity and test equipment to non-electrical/</w:t>
            </w:r>
            <w:proofErr w:type="spellStart"/>
            <w:r w:rsidRPr="003B1B19">
              <w:rPr>
                <w:rFonts w:ascii="Times New Roman" w:eastAsia="Times New Roman" w:hAnsi="Times New Roman" w:cs="Times New Roman"/>
                <w:sz w:val="24"/>
                <w:szCs w:val="24"/>
              </w:rPr>
              <w:t>electronics</w:t>
            </w:r>
            <w:proofErr w:type="spellEnd"/>
            <w:r w:rsidRPr="003B1B19">
              <w:rPr>
                <w:rFonts w:ascii="Times New Roman" w:eastAsia="Times New Roman" w:hAnsi="Times New Roman" w:cs="Times New Roman"/>
                <w:sz w:val="24"/>
                <w:szCs w:val="24"/>
              </w:rPr>
              <w:t xml:space="preserve"> majors. Topics include basic DC and AC principles (voltage, resistance, current, impedance); components (resistors, inductors, and capacitors); power; and operation of test equipment. Upon completion, students should be able to construct and analyze simple DC and AC circuits using electrical test equipment.</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State Prerequisites</w:t>
            </w:r>
          </w:p>
        </w:tc>
        <w:tc>
          <w:tcPr>
            <w:tcW w:w="4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State </w:t>
            </w:r>
            <w:proofErr w:type="spellStart"/>
            <w:r w:rsidRPr="003B1B19">
              <w:rPr>
                <w:rFonts w:ascii="Times New Roman" w:eastAsia="Times New Roman" w:hAnsi="Times New Roman" w:cs="Times New Roman"/>
                <w:sz w:val="24"/>
                <w:szCs w:val="24"/>
              </w:rPr>
              <w:t>Corequisites</w:t>
            </w:r>
            <w:proofErr w:type="spellEnd"/>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3B1B19" w:rsidRDefault="003B1B19">
      <w:bookmarkStart w:id="0" w:name="_GoBack"/>
      <w:bookmarkEnd w:id="0"/>
    </w:p>
    <w:p w:rsidR="00893E3C" w:rsidRDefault="00893E3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ENG-111_2020FA</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Writing and Inquiry</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CIS Course ID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S25433</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Effective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Fall 2020</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End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Class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Lab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Clinical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Work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Credit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Competencies</w:t>
            </w:r>
          </w:p>
        </w:tc>
      </w:tr>
      <w:tr w:rsidR="00893E3C" w:rsidRPr="00893E3C" w:rsidTr="00893E3C">
        <w:trPr>
          <w:tblCellSpacing w:w="15" w:type="dxa"/>
          <w:jc w:val="center"/>
        </w:trPr>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Student Learning Outcomes</w:t>
            </w:r>
            <w:r w:rsidRPr="00893E3C">
              <w:rPr>
                <w:rFonts w:ascii="Times New Roman" w:eastAsia="Times New Roman" w:hAnsi="Times New Roman" w:cs="Times New Roman"/>
                <w:sz w:val="24"/>
                <w:szCs w:val="24"/>
              </w:rPr>
              <w:br/>
              <w:t>1. Demonstrate writing as a recursive process.</w:t>
            </w:r>
            <w:r w:rsidRPr="00893E3C">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893E3C">
              <w:rPr>
                <w:rFonts w:ascii="Times New Roman" w:eastAsia="Times New Roman" w:hAnsi="Times New Roman" w:cs="Times New Roman"/>
                <w:sz w:val="24"/>
                <w:szCs w:val="24"/>
              </w:rPr>
              <w:br/>
              <w:t xml:space="preserve">3. Students will reflect upon and explain their writing strategies. </w:t>
            </w:r>
            <w:r w:rsidRPr="00893E3C">
              <w:rPr>
                <w:rFonts w:ascii="Times New Roman" w:eastAsia="Times New Roman" w:hAnsi="Times New Roman" w:cs="Times New Roman"/>
                <w:sz w:val="24"/>
                <w:szCs w:val="24"/>
              </w:rPr>
              <w:br/>
              <w:t>4. Demonstrate the critical use and examination of printed, digital, and visual materials.</w:t>
            </w:r>
            <w:r w:rsidRPr="00893E3C">
              <w:rPr>
                <w:rFonts w:ascii="Times New Roman" w:eastAsia="Times New Roman" w:hAnsi="Times New Roman" w:cs="Times New Roman"/>
                <w:sz w:val="24"/>
                <w:szCs w:val="24"/>
              </w:rPr>
              <w:br/>
              <w:t>5. Locate, evaluate, and incorporate relevant sources with proper documentation.</w:t>
            </w:r>
            <w:r w:rsidRPr="00893E3C">
              <w:rPr>
                <w:rFonts w:ascii="Times New Roman" w:eastAsia="Times New Roman" w:hAnsi="Times New Roman" w:cs="Times New Roman"/>
                <w:sz w:val="24"/>
                <w:szCs w:val="24"/>
              </w:rPr>
              <w:br/>
            </w:r>
            <w:r w:rsidRPr="00893E3C">
              <w:rPr>
                <w:rFonts w:ascii="Times New Roman" w:eastAsia="Times New Roman" w:hAnsi="Times New Roman" w:cs="Times New Roman"/>
                <w:sz w:val="24"/>
                <w:szCs w:val="24"/>
              </w:rPr>
              <w:lastRenderedPageBreak/>
              <w:t>6. Compose texts incorporating rhetorically effective and conventional use of language.</w:t>
            </w:r>
            <w:r w:rsidRPr="00893E3C">
              <w:rPr>
                <w:rFonts w:ascii="Times New Roman" w:eastAsia="Times New Roman" w:hAnsi="Times New Roman" w:cs="Times New Roman"/>
                <w:sz w:val="24"/>
                <w:szCs w:val="24"/>
              </w:rPr>
              <w:br/>
              <w:t>7. Collaborate actively in a writing community.</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State Prerequisites</w:t>
            </w:r>
          </w:p>
        </w:tc>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One Set:</w:t>
            </w:r>
            <w:r w:rsidRPr="00893E3C">
              <w:rPr>
                <w:rFonts w:ascii="Times New Roman" w:eastAsia="Times New Roman" w:hAnsi="Times New Roman" w:cs="Times New Roman"/>
                <w:sz w:val="24"/>
                <w:szCs w:val="24"/>
              </w:rPr>
              <w:br/>
              <w:t>Set 1: DRE-097</w:t>
            </w:r>
            <w:r w:rsidRPr="00893E3C">
              <w:rPr>
                <w:rFonts w:ascii="Times New Roman" w:eastAsia="Times New Roman" w:hAnsi="Times New Roman" w:cs="Times New Roman"/>
                <w:sz w:val="24"/>
                <w:szCs w:val="24"/>
              </w:rPr>
              <w:br/>
              <w:t>Set 2: ENG-002</w:t>
            </w:r>
            <w:r w:rsidRPr="00893E3C">
              <w:rPr>
                <w:rFonts w:ascii="Times New Roman" w:eastAsia="Times New Roman" w:hAnsi="Times New Roman" w:cs="Times New Roman"/>
                <w:sz w:val="24"/>
                <w:szCs w:val="24"/>
              </w:rPr>
              <w:br/>
              <w:t>Set 3: BSP-4002</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State </w:t>
            </w:r>
            <w:proofErr w:type="spellStart"/>
            <w:r w:rsidRPr="00893E3C">
              <w:rPr>
                <w:rFonts w:ascii="Times New Roman" w:eastAsia="Times New Roman" w:hAnsi="Times New Roman" w:cs="Times New Roman"/>
                <w:sz w:val="24"/>
                <w:szCs w:val="24"/>
              </w:rPr>
              <w:t>Corequisites</w:t>
            </w:r>
            <w:proofErr w:type="spellEnd"/>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ENG-011</w:t>
            </w:r>
          </w:p>
        </w:tc>
      </w:tr>
    </w:tbl>
    <w:p w:rsidR="00893E3C" w:rsidRDefault="00893E3C"/>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2"/>
        <w:gridCol w:w="3697"/>
        <w:gridCol w:w="195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ISC-112_2013FA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Industrial Safety</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ISC-112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S23527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the principles of industrial safety. Emphasis is placed on industrial safety and OSHA regulations. Upon completion, students should be able to demonstrate knowledge of a safe working environment and OSHA compliance.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Competencies</w:t>
            </w:r>
          </w:p>
        </w:tc>
      </w:tr>
      <w:tr w:rsidR="00B14426" w:rsidRPr="00B14426" w:rsidTr="00B14426">
        <w:trPr>
          <w:tblCellSpacing w:w="15" w:type="dxa"/>
          <w:jc w:val="center"/>
        </w:trPr>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Student Learning Outcomes</w:t>
            </w:r>
            <w:r w:rsidRPr="00B14426">
              <w:rPr>
                <w:rFonts w:ascii="Arial" w:eastAsia="Times New Roman" w:hAnsi="Arial" w:cs="Arial"/>
                <w:color w:val="000000"/>
                <w:sz w:val="23"/>
                <w:szCs w:val="23"/>
              </w:rPr>
              <w:br/>
              <w:t>1. Describe and identify safety practices required to perform various job-related activities.</w:t>
            </w:r>
            <w:r w:rsidRPr="00B14426">
              <w:rPr>
                <w:rFonts w:ascii="Arial" w:eastAsia="Times New Roman" w:hAnsi="Arial" w:cs="Arial"/>
                <w:color w:val="000000"/>
                <w:sz w:val="23"/>
                <w:szCs w:val="23"/>
              </w:rPr>
              <w:br/>
              <w:t>2. Describe the application of OSHA procedures and requirements for compliance.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6339A4" w:rsidRDefault="006339A4"/>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6"/>
        <w:gridCol w:w="4800"/>
        <w:gridCol w:w="1624"/>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MAT-110_2020FA</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Math Measurement &amp; Literacy</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MAT-110</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S25428</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Fall 2020</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lastRenderedPageBreak/>
              <w:t xml:space="preserve">This course provides an activity-based approach that develops measurement skills and mathematical literacy using technology to solve problems for non-math intensive programs. Topics include unit conversions and estimation within a variety of measurement systems; ratio and proportion; basic geometric concepts; financial literacy; and statistics including measures of central tendency, dispersion, and charting of data. Upon completion, students should be able to demonstrate the use of mathematics and technology to solve practical problems, and to analyze and communicate results. </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Competencies</w:t>
            </w:r>
          </w:p>
        </w:tc>
      </w:tr>
      <w:tr w:rsidR="003D3C41" w:rsidRPr="003D3C41" w:rsidTr="003D3C41">
        <w:trPr>
          <w:tblCellSpacing w:w="15" w:type="dxa"/>
          <w:jc w:val="center"/>
        </w:trPr>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·Student Learning Outcomes</w:t>
            </w:r>
            <w:r w:rsidRPr="003D3C41">
              <w:rPr>
                <w:rFonts w:ascii="Arial" w:eastAsia="Times New Roman" w:hAnsi="Arial" w:cs="Arial"/>
                <w:color w:val="000000"/>
                <w:sz w:val="23"/>
                <w:szCs w:val="23"/>
              </w:rPr>
              <w:br/>
              <w:t>1. Demonstrate estimation skills and justify results.</w:t>
            </w:r>
            <w:r w:rsidRPr="003D3C41">
              <w:rPr>
                <w:rFonts w:ascii="Arial" w:eastAsia="Times New Roman" w:hAnsi="Arial" w:cs="Arial"/>
                <w:color w:val="000000"/>
                <w:sz w:val="23"/>
                <w:szCs w:val="23"/>
              </w:rPr>
              <w:br/>
              <w:t>2. Use dimensional analysis to convert units of measurement.</w:t>
            </w:r>
            <w:r w:rsidRPr="003D3C41">
              <w:rPr>
                <w:rFonts w:ascii="Arial" w:eastAsia="Times New Roman" w:hAnsi="Arial" w:cs="Arial"/>
                <w:color w:val="000000"/>
                <w:sz w:val="23"/>
                <w:szCs w:val="23"/>
              </w:rPr>
              <w:br/>
              <w:t>3. Employ fractions, percentages and proportions to solve contextual problems.</w:t>
            </w:r>
            <w:r w:rsidRPr="003D3C41">
              <w:rPr>
                <w:rFonts w:ascii="Arial" w:eastAsia="Times New Roman" w:hAnsi="Arial" w:cs="Arial"/>
                <w:color w:val="000000"/>
                <w:sz w:val="23"/>
                <w:szCs w:val="23"/>
              </w:rPr>
              <w:br/>
              <w:t xml:space="preserve">4. Compute geometric measurements of perimeter, area, volume and angles. </w:t>
            </w:r>
            <w:r w:rsidRPr="003D3C41">
              <w:rPr>
                <w:rFonts w:ascii="Arial" w:eastAsia="Times New Roman" w:hAnsi="Arial" w:cs="Arial"/>
                <w:color w:val="000000"/>
                <w:sz w:val="23"/>
                <w:szCs w:val="23"/>
              </w:rPr>
              <w:br/>
              <w:t>5. Use technology to analyze and interpret elements of personal finance.</w:t>
            </w:r>
            <w:r w:rsidRPr="003D3C41">
              <w:rPr>
                <w:rFonts w:ascii="Arial" w:eastAsia="Times New Roman" w:hAnsi="Arial" w:cs="Arial"/>
                <w:color w:val="000000"/>
                <w:sz w:val="23"/>
                <w:szCs w:val="23"/>
              </w:rPr>
              <w:br/>
              <w:t>6. Compare and contrast measures of center and measures of dispersion.</w:t>
            </w:r>
            <w:r w:rsidRPr="003D3C41">
              <w:rPr>
                <w:rFonts w:ascii="Arial" w:eastAsia="Times New Roman" w:hAnsi="Arial" w:cs="Arial"/>
                <w:color w:val="000000"/>
                <w:sz w:val="23"/>
                <w:szCs w:val="23"/>
              </w:rPr>
              <w:br/>
              <w:t>7. Interpret tables, charts, and graphs and communicate results.</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Take One Set:</w:t>
            </w:r>
            <w:r w:rsidRPr="003D3C41">
              <w:rPr>
                <w:rFonts w:ascii="Arial" w:eastAsia="Times New Roman" w:hAnsi="Arial" w:cs="Arial"/>
                <w:color w:val="000000"/>
                <w:sz w:val="23"/>
                <w:szCs w:val="23"/>
              </w:rPr>
              <w:br/>
              <w:t>Set 1: DMA-010, DMA-020, and DMA-030</w:t>
            </w:r>
            <w:r w:rsidRPr="003D3C41">
              <w:rPr>
                <w:rFonts w:ascii="Arial" w:eastAsia="Times New Roman" w:hAnsi="Arial" w:cs="Arial"/>
                <w:color w:val="000000"/>
                <w:sz w:val="23"/>
                <w:szCs w:val="23"/>
              </w:rPr>
              <w:br/>
              <w:t>Set 2: DMA-025</w:t>
            </w:r>
            <w:r w:rsidRPr="003D3C41">
              <w:rPr>
                <w:rFonts w:ascii="Arial" w:eastAsia="Times New Roman" w:hAnsi="Arial" w:cs="Arial"/>
                <w:color w:val="000000"/>
                <w:sz w:val="23"/>
                <w:szCs w:val="23"/>
              </w:rPr>
              <w:br/>
              <w:t>Set 3: MAT-003</w:t>
            </w:r>
            <w:r w:rsidRPr="003D3C41">
              <w:rPr>
                <w:rFonts w:ascii="Arial" w:eastAsia="Times New Roman" w:hAnsi="Arial" w:cs="Arial"/>
                <w:color w:val="000000"/>
                <w:sz w:val="23"/>
                <w:szCs w:val="23"/>
              </w:rPr>
              <w:br/>
              <w:t>Set 4: BSP-4003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State </w:t>
            </w:r>
            <w:proofErr w:type="spellStart"/>
            <w:r w:rsidRPr="003D3C41">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Take MAT-010</w:t>
            </w:r>
          </w:p>
        </w:tc>
      </w:tr>
    </w:tbl>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4"/>
        <w:gridCol w:w="3967"/>
        <w:gridCol w:w="1899"/>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PHY-110_1997SU</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Conceptual Physics</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PHY-110</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S12004</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Summer 1997</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lastRenderedPageBreak/>
              <w:t xml:space="preserve">State </w:t>
            </w:r>
            <w:proofErr w:type="spellStart"/>
            <w:r w:rsidRPr="003D3C41">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PSY-150_1997SU</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General Psychology</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S10777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6339A4" w:rsidRDefault="006339A4"/>
    <w:p w:rsidR="00E9017D" w:rsidRDefault="00E9017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SOC-210_1997SU</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Introduction to Sociology</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S11919</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Default="00E9017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17"/>
        <w:gridCol w:w="4192"/>
        <w:gridCol w:w="185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WBL-111_2014FA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Work-Based Learning I</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WBL-111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S23794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466"/>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CF2919" w:rsidRDefault="00CF291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6"/>
        <w:gridCol w:w="4128"/>
        <w:gridCol w:w="1866"/>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WLD-113_2009SU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Soldering and Brazing</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S22464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2009</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procedures for cutting, soldering and brazing of pipe and tubing. Topics include safety, proper equipment setup, and operation of soldering and brazing equipment. Upon completion, students should be able to solder and braze pipe, tubing, and fittings in various positions.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p w:rsidR="00B14426" w:rsidRDefault="00B14426"/>
    <w:sectPr w:rsidR="00B144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41" w:rsidRDefault="00054041" w:rsidP="00A047C4">
      <w:pPr>
        <w:spacing w:after="0" w:line="240" w:lineRule="auto"/>
      </w:pPr>
      <w:r>
        <w:separator/>
      </w:r>
    </w:p>
  </w:endnote>
  <w:endnote w:type="continuationSeparator" w:id="0">
    <w:p w:rsidR="00054041" w:rsidRDefault="00054041"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41" w:rsidRDefault="00054041" w:rsidP="00A047C4">
      <w:pPr>
        <w:spacing w:after="0" w:line="240" w:lineRule="auto"/>
      </w:pPr>
      <w:r>
        <w:separator/>
      </w:r>
    </w:p>
  </w:footnote>
  <w:footnote w:type="continuationSeparator" w:id="0">
    <w:p w:rsidR="00054041" w:rsidRDefault="00054041"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41" w:rsidRDefault="003D3C41" w:rsidP="00A047C4">
    <w:pPr>
      <w:pStyle w:val="Header"/>
      <w:jc w:val="center"/>
      <w:rPr>
        <w:b/>
        <w:sz w:val="28"/>
        <w:szCs w:val="28"/>
      </w:rPr>
    </w:pPr>
    <w:r>
      <w:rPr>
        <w:b/>
        <w:sz w:val="28"/>
        <w:szCs w:val="28"/>
      </w:rPr>
      <w:t xml:space="preserve">Air conditioning, Heating, and Refrigeration Technology </w:t>
    </w:r>
    <w:r w:rsidRPr="00A047C4">
      <w:rPr>
        <w:b/>
        <w:sz w:val="28"/>
        <w:szCs w:val="28"/>
      </w:rPr>
      <w:t xml:space="preserve">– </w:t>
    </w:r>
  </w:p>
  <w:p w:rsidR="003D3C41" w:rsidRPr="00A047C4" w:rsidRDefault="007464E4" w:rsidP="007464E4">
    <w:pPr>
      <w:pStyle w:val="Header"/>
      <w:jc w:val="center"/>
      <w:rPr>
        <w:b/>
        <w:sz w:val="28"/>
        <w:szCs w:val="28"/>
      </w:rPr>
    </w:pPr>
    <w:r>
      <w:rPr>
        <w:b/>
        <w:sz w:val="28"/>
        <w:szCs w:val="28"/>
      </w:rPr>
      <w:t>Diploma</w:t>
    </w:r>
    <w:r w:rsidR="003D3C41" w:rsidRPr="00A047C4">
      <w:rPr>
        <w:b/>
        <w:sz w:val="28"/>
        <w:szCs w:val="28"/>
      </w:rPr>
      <w:t xml:space="preserve"> (</w:t>
    </w:r>
    <w:r>
      <w:rPr>
        <w:b/>
        <w:sz w:val="28"/>
        <w:szCs w:val="28"/>
      </w:rPr>
      <w:t>D35100</w:t>
    </w:r>
    <w:r w:rsidR="003D3C41"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54041"/>
    <w:rsid w:val="00203D74"/>
    <w:rsid w:val="003141A4"/>
    <w:rsid w:val="003B1B19"/>
    <w:rsid w:val="003D3C41"/>
    <w:rsid w:val="003F6CC3"/>
    <w:rsid w:val="00461D5E"/>
    <w:rsid w:val="004B6E1E"/>
    <w:rsid w:val="006339A4"/>
    <w:rsid w:val="00676069"/>
    <w:rsid w:val="007464E4"/>
    <w:rsid w:val="00791B34"/>
    <w:rsid w:val="00893E3C"/>
    <w:rsid w:val="008B7B79"/>
    <w:rsid w:val="00A047C4"/>
    <w:rsid w:val="00B14426"/>
    <w:rsid w:val="00B44C14"/>
    <w:rsid w:val="00B655AD"/>
    <w:rsid w:val="00BD0E96"/>
    <w:rsid w:val="00C15710"/>
    <w:rsid w:val="00CF2919"/>
    <w:rsid w:val="00E12AE4"/>
    <w:rsid w:val="00E33DD1"/>
    <w:rsid w:val="00E9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E748"/>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817">
      <w:bodyDiv w:val="1"/>
      <w:marLeft w:val="0"/>
      <w:marRight w:val="0"/>
      <w:marTop w:val="0"/>
      <w:marBottom w:val="0"/>
      <w:divBdr>
        <w:top w:val="none" w:sz="0" w:space="0" w:color="auto"/>
        <w:left w:val="none" w:sz="0" w:space="0" w:color="auto"/>
        <w:bottom w:val="none" w:sz="0" w:space="0" w:color="auto"/>
        <w:right w:val="none" w:sz="0" w:space="0" w:color="auto"/>
      </w:divBdr>
    </w:div>
    <w:div w:id="51974302">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77705411">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227170">
      <w:bodyDiv w:val="1"/>
      <w:marLeft w:val="0"/>
      <w:marRight w:val="0"/>
      <w:marTop w:val="0"/>
      <w:marBottom w:val="0"/>
      <w:divBdr>
        <w:top w:val="none" w:sz="0" w:space="0" w:color="auto"/>
        <w:left w:val="none" w:sz="0" w:space="0" w:color="auto"/>
        <w:bottom w:val="none" w:sz="0" w:space="0" w:color="auto"/>
        <w:right w:val="none" w:sz="0" w:space="0" w:color="auto"/>
      </w:divBdr>
    </w:div>
    <w:div w:id="516237410">
      <w:bodyDiv w:val="1"/>
      <w:marLeft w:val="0"/>
      <w:marRight w:val="0"/>
      <w:marTop w:val="0"/>
      <w:marBottom w:val="0"/>
      <w:divBdr>
        <w:top w:val="none" w:sz="0" w:space="0" w:color="auto"/>
        <w:left w:val="none" w:sz="0" w:space="0" w:color="auto"/>
        <w:bottom w:val="none" w:sz="0" w:space="0" w:color="auto"/>
        <w:right w:val="none" w:sz="0" w:space="0" w:color="auto"/>
      </w:divBdr>
    </w:div>
    <w:div w:id="538206115">
      <w:bodyDiv w:val="1"/>
      <w:marLeft w:val="0"/>
      <w:marRight w:val="0"/>
      <w:marTop w:val="0"/>
      <w:marBottom w:val="0"/>
      <w:divBdr>
        <w:top w:val="none" w:sz="0" w:space="0" w:color="auto"/>
        <w:left w:val="none" w:sz="0" w:space="0" w:color="auto"/>
        <w:bottom w:val="none" w:sz="0" w:space="0" w:color="auto"/>
        <w:right w:val="none" w:sz="0" w:space="0" w:color="auto"/>
      </w:divBdr>
    </w:div>
    <w:div w:id="61664244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165169">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40987820">
      <w:bodyDiv w:val="1"/>
      <w:marLeft w:val="0"/>
      <w:marRight w:val="0"/>
      <w:marTop w:val="0"/>
      <w:marBottom w:val="0"/>
      <w:divBdr>
        <w:top w:val="none" w:sz="0" w:space="0" w:color="auto"/>
        <w:left w:val="none" w:sz="0" w:space="0" w:color="auto"/>
        <w:bottom w:val="none" w:sz="0" w:space="0" w:color="auto"/>
        <w:right w:val="none" w:sz="0" w:space="0" w:color="auto"/>
      </w:divBdr>
    </w:div>
    <w:div w:id="1155296163">
      <w:bodyDiv w:val="1"/>
      <w:marLeft w:val="0"/>
      <w:marRight w:val="0"/>
      <w:marTop w:val="0"/>
      <w:marBottom w:val="0"/>
      <w:divBdr>
        <w:top w:val="none" w:sz="0" w:space="0" w:color="auto"/>
        <w:left w:val="none" w:sz="0" w:space="0" w:color="auto"/>
        <w:bottom w:val="none" w:sz="0" w:space="0" w:color="auto"/>
        <w:right w:val="none" w:sz="0" w:space="0" w:color="auto"/>
      </w:divBdr>
    </w:div>
    <w:div w:id="118551200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85844832">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19111944">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47636675">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392116151">
      <w:bodyDiv w:val="1"/>
      <w:marLeft w:val="0"/>
      <w:marRight w:val="0"/>
      <w:marTop w:val="0"/>
      <w:marBottom w:val="0"/>
      <w:divBdr>
        <w:top w:val="none" w:sz="0" w:space="0" w:color="auto"/>
        <w:left w:val="none" w:sz="0" w:space="0" w:color="auto"/>
        <w:bottom w:val="none" w:sz="0" w:space="0" w:color="auto"/>
        <w:right w:val="none" w:sz="0" w:space="0" w:color="auto"/>
      </w:divBdr>
    </w:div>
    <w:div w:id="1478955696">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39930465">
      <w:bodyDiv w:val="1"/>
      <w:marLeft w:val="0"/>
      <w:marRight w:val="0"/>
      <w:marTop w:val="0"/>
      <w:marBottom w:val="0"/>
      <w:divBdr>
        <w:top w:val="none" w:sz="0" w:space="0" w:color="auto"/>
        <w:left w:val="none" w:sz="0" w:space="0" w:color="auto"/>
        <w:bottom w:val="none" w:sz="0" w:space="0" w:color="auto"/>
        <w:right w:val="none" w:sz="0" w:space="0" w:color="auto"/>
      </w:divBdr>
    </w:div>
    <w:div w:id="1557625556">
      <w:bodyDiv w:val="1"/>
      <w:marLeft w:val="0"/>
      <w:marRight w:val="0"/>
      <w:marTop w:val="0"/>
      <w:marBottom w:val="0"/>
      <w:divBdr>
        <w:top w:val="none" w:sz="0" w:space="0" w:color="auto"/>
        <w:left w:val="none" w:sz="0" w:space="0" w:color="auto"/>
        <w:bottom w:val="none" w:sz="0" w:space="0" w:color="auto"/>
        <w:right w:val="none" w:sz="0" w:space="0" w:color="auto"/>
      </w:divBdr>
    </w:div>
    <w:div w:id="1618638405">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43470188">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89418970">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199513864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287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4</cp:revision>
  <dcterms:created xsi:type="dcterms:W3CDTF">2020-06-01T20:54:00Z</dcterms:created>
  <dcterms:modified xsi:type="dcterms:W3CDTF">2020-06-01T20:55:00Z</dcterms:modified>
</cp:coreProperties>
</file>