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32" w:rsidRDefault="00913D6D" w:rsidP="00913D6D">
      <w:pPr>
        <w:jc w:val="center"/>
        <w:rPr>
          <w:b/>
          <w:sz w:val="28"/>
          <w:szCs w:val="28"/>
        </w:rPr>
      </w:pPr>
      <w:r w:rsidRPr="00913D6D">
        <w:rPr>
          <w:b/>
          <w:sz w:val="28"/>
          <w:szCs w:val="28"/>
        </w:rPr>
        <w:t>Criminal Justice Diploma (D55180)</w:t>
      </w:r>
    </w:p>
    <w:p w:rsidR="00913D6D" w:rsidRDefault="00913D6D" w:rsidP="00913D6D">
      <w:pPr>
        <w:jc w:val="cente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5580"/>
        <w:gridCol w:w="1890"/>
      </w:tblGrid>
      <w:tr w:rsidR="00913D6D" w:rsidRPr="00A429BE" w:rsidTr="00B07904">
        <w:trPr>
          <w:tblCellSpacing w:w="15" w:type="dxa"/>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CIS-110</w:t>
            </w:r>
          </w:p>
        </w:tc>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CIS-110</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provides an introduction to computers and computing. Topics include the impact of computers on society, ethical issues, and hardware/software applications, including spreadsheets, databases, word processors, graphics, the Internet, and operating systems. Upon completion, students should be able to demonstrate an understanding of the role and function of computers and use the computer to solve problems. This course has been approved to satisfy the Comprehensive Articulation Agreement general education core requirement in natural sciences/mathematics (quantitative option).</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Times New Roman" w:eastAsia="Times New Roman" w:hAnsi="Times New Roman" w:cs="Times New Roman"/>
                <w:sz w:val="24"/>
                <w:szCs w:val="24"/>
              </w:rPr>
            </w:pP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Times New Roman" w:eastAsia="Times New Roman" w:hAnsi="Times New Roman" w:cs="Times New Roman"/>
                <w:sz w:val="24"/>
                <w:szCs w:val="24"/>
              </w:rPr>
            </w:pP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A429BE"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A429BE"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State </w:t>
            </w:r>
            <w:proofErr w:type="spellStart"/>
            <w:r w:rsidRPr="00A429B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68"/>
        <w:gridCol w:w="2593"/>
      </w:tblGrid>
      <w:tr w:rsidR="00913D6D" w:rsidRPr="00A429BE" w:rsidTr="00B07904">
        <w:trPr>
          <w:tblCellSpacing w:w="15" w:type="dxa"/>
          <w:jc w:val="center"/>
        </w:trPr>
        <w:tc>
          <w:tcPr>
            <w:tcW w:w="99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has been approved for transfer under the CAA as a general education course in Mathematics (Quantitative).</w:t>
            </w:r>
            <w:r w:rsidRPr="00A429BE">
              <w:rPr>
                <w:rFonts w:ascii="Arial" w:eastAsia="Times New Roman" w:hAnsi="Arial" w:cs="Arial"/>
                <w:color w:val="000000"/>
                <w:sz w:val="23"/>
                <w:szCs w:val="23"/>
              </w:rPr>
              <w:br/>
              <w:t>This course has been approved for transfer under the ICAA as a general education course in Mathematics (Quantitative).</w:t>
            </w:r>
          </w:p>
        </w:tc>
      </w:tr>
      <w:tr w:rsidR="00913D6D" w:rsidRPr="00A429BE" w:rsidTr="00B079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ENG-111</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This course is designed to develop the ability to produce clear writing in a variety of genres and formats using a recursive process. Emphasis includes inquiry, analysis, </w:t>
            </w:r>
            <w:proofErr w:type="gramStart"/>
            <w:r w:rsidRPr="00A429BE">
              <w:rPr>
                <w:rFonts w:ascii="Arial" w:eastAsia="Times New Roman" w:hAnsi="Arial" w:cs="Arial"/>
                <w:color w:val="000000"/>
                <w:sz w:val="23"/>
                <w:szCs w:val="23"/>
              </w:rPr>
              <w:t>effective</w:t>
            </w:r>
            <w:proofErr w:type="gramEnd"/>
            <w:r w:rsidRPr="00A429BE">
              <w:rPr>
                <w:rFonts w:ascii="Arial" w:eastAsia="Times New Roman" w:hAnsi="Arial" w:cs="Arial"/>
                <w:color w:val="000000"/>
                <w:sz w:val="23"/>
                <w:szCs w:val="23"/>
              </w:rPr>
              <w:t xml:space="preserve"> use of rhetorical strategies, thesis development, audience awareness, and revision. Upon completion, students should be able to produce unified, coherent, well-developed essays using standard written English.</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Times New Roman" w:eastAsia="Times New Roman" w:hAnsi="Times New Roman" w:cs="Times New Roman"/>
                <w:sz w:val="24"/>
                <w:szCs w:val="24"/>
              </w:rPr>
            </w:pP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Competencies</w:t>
            </w:r>
          </w:p>
        </w:tc>
      </w:tr>
      <w:tr w:rsidR="00913D6D" w:rsidRPr="00A429BE" w:rsidTr="00B07904">
        <w:trPr>
          <w:tblCellSpacing w:w="15" w:type="dxa"/>
          <w:jc w:val="center"/>
        </w:trPr>
        <w:tc>
          <w:tcPr>
            <w:tcW w:w="4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Student Learning Outcomes</w:t>
            </w:r>
            <w:r w:rsidRPr="00A429BE">
              <w:rPr>
                <w:rFonts w:ascii="Arial" w:eastAsia="Times New Roman" w:hAnsi="Arial" w:cs="Arial"/>
                <w:color w:val="000000"/>
                <w:sz w:val="23"/>
                <w:szCs w:val="23"/>
              </w:rPr>
              <w:br/>
              <w:t>1. Demonstrate writing as a recursive process.</w:t>
            </w:r>
            <w:r w:rsidRPr="00A429BE">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A429BE">
              <w:rPr>
                <w:rFonts w:ascii="Arial" w:eastAsia="Times New Roman" w:hAnsi="Arial" w:cs="Arial"/>
                <w:color w:val="000000"/>
                <w:sz w:val="23"/>
                <w:szCs w:val="23"/>
              </w:rPr>
              <w:br/>
              <w:t>3. Students will reflect upon and explain their writing strategies.</w:t>
            </w:r>
            <w:r w:rsidRPr="00A429BE">
              <w:rPr>
                <w:rFonts w:ascii="Arial" w:eastAsia="Times New Roman" w:hAnsi="Arial" w:cs="Arial"/>
                <w:color w:val="000000"/>
                <w:sz w:val="23"/>
                <w:szCs w:val="23"/>
              </w:rPr>
              <w:br/>
              <w:t>4. Demonstrate the critical use and examination of printed, digital, and visual materials.</w:t>
            </w:r>
            <w:r w:rsidRPr="00A429BE">
              <w:rPr>
                <w:rFonts w:ascii="Arial" w:eastAsia="Times New Roman" w:hAnsi="Arial" w:cs="Arial"/>
                <w:color w:val="000000"/>
                <w:sz w:val="23"/>
                <w:szCs w:val="23"/>
              </w:rPr>
              <w:br/>
              <w:t>5. Locate, evaluate, and incorporate relevant sources with proper documentation.</w:t>
            </w:r>
            <w:r w:rsidRPr="00A429BE">
              <w:rPr>
                <w:rFonts w:ascii="Arial" w:eastAsia="Times New Roman" w:hAnsi="Arial" w:cs="Arial"/>
                <w:color w:val="000000"/>
                <w:sz w:val="23"/>
                <w:szCs w:val="23"/>
              </w:rPr>
              <w:br/>
              <w:t>6. Compose texts incorporating rhetorically effective and conventional use of language.</w:t>
            </w:r>
            <w:r w:rsidRPr="00A429BE">
              <w:rPr>
                <w:rFonts w:ascii="Arial" w:eastAsia="Times New Roman" w:hAnsi="Arial" w:cs="Arial"/>
                <w:color w:val="000000"/>
                <w:sz w:val="23"/>
                <w:szCs w:val="23"/>
              </w:rPr>
              <w:br/>
              <w:t>7. Collaborate actively in a writing community.</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A429BE"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Times New Roman" w:eastAsia="Times New Roman" w:hAnsi="Times New Roman" w:cs="Times New Roman"/>
                <w:sz w:val="24"/>
                <w:szCs w:val="24"/>
              </w:rPr>
            </w:pP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A429BE"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Take One Set:</w:t>
            </w:r>
            <w:r w:rsidRPr="00A429BE">
              <w:rPr>
                <w:rFonts w:ascii="Arial" w:eastAsia="Times New Roman" w:hAnsi="Arial" w:cs="Arial"/>
                <w:color w:val="000000"/>
                <w:sz w:val="23"/>
                <w:szCs w:val="23"/>
              </w:rPr>
              <w:br/>
              <w:t>Set 1: DRE-097</w:t>
            </w:r>
            <w:r w:rsidRPr="00A429BE">
              <w:rPr>
                <w:rFonts w:ascii="Arial" w:eastAsia="Times New Roman" w:hAnsi="Arial" w:cs="Arial"/>
                <w:color w:val="000000"/>
                <w:sz w:val="23"/>
                <w:szCs w:val="23"/>
              </w:rPr>
              <w:br/>
              <w:t>Set 2: ENG-002</w:t>
            </w:r>
            <w:r w:rsidRPr="00A429BE">
              <w:rPr>
                <w:rFonts w:ascii="Arial" w:eastAsia="Times New Roman" w:hAnsi="Arial" w:cs="Arial"/>
                <w:color w:val="000000"/>
                <w:sz w:val="23"/>
                <w:szCs w:val="23"/>
              </w:rPr>
              <w:br/>
              <w:t>Set 3: BSP-4002</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A429BE"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lastRenderedPageBreak/>
              <w:t xml:space="preserve">State </w:t>
            </w:r>
            <w:proofErr w:type="spellStart"/>
            <w:r w:rsidRPr="00A429B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Take ENG-011</w:t>
            </w:r>
          </w:p>
        </w:tc>
      </w:tr>
    </w:tbl>
    <w:p w:rsidR="00913D6D" w:rsidRPr="00A429BE"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48"/>
        <w:gridCol w:w="2213"/>
      </w:tblGrid>
      <w:tr w:rsidR="00913D6D" w:rsidRPr="00A429BE" w:rsidTr="00B07904">
        <w:trPr>
          <w:tblCellSpacing w:w="15" w:type="dxa"/>
          <w:jc w:val="center"/>
        </w:trPr>
        <w:tc>
          <w:tcPr>
            <w:tcW w:w="990" w:type="pct"/>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Pr="00A429BE" w:rsidRDefault="00913D6D" w:rsidP="00B07904">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has been approved for transfer under the CAA as a general education course in English Composition.</w:t>
            </w:r>
            <w:r w:rsidRPr="00A429BE">
              <w:rPr>
                <w:rFonts w:ascii="Arial" w:eastAsia="Times New Roman" w:hAnsi="Arial" w:cs="Arial"/>
                <w:color w:val="000000"/>
                <w:sz w:val="23"/>
                <w:szCs w:val="23"/>
              </w:rPr>
              <w:br/>
              <w:t>This course has been approved for transfer under the ICAA as a general education course in English Composition.</w:t>
            </w:r>
          </w:p>
        </w:tc>
      </w:tr>
      <w:tr w:rsidR="00913D6D" w:rsidRPr="001F21E2" w:rsidTr="00B079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CJC-111</w:t>
            </w:r>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Intro to Criminal Justice</w:t>
            </w:r>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CJC-111</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Times New Roman" w:eastAsia="Times New Roman" w:hAnsi="Times New Roman" w:cs="Times New Roman"/>
                <w:sz w:val="24"/>
                <w:szCs w:val="24"/>
              </w:rPr>
            </w:pP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Times New Roman" w:eastAsia="Times New Roman" w:hAnsi="Times New Roman" w:cs="Times New Roman"/>
                <w:sz w:val="24"/>
                <w:szCs w:val="24"/>
              </w:rPr>
            </w:pP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1F21E2"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1F21E2"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71"/>
        <w:gridCol w:w="2190"/>
      </w:tblGrid>
      <w:tr w:rsidR="00913D6D" w:rsidRPr="001F21E2" w:rsidTr="00B07904">
        <w:trPr>
          <w:tblCellSpacing w:w="15" w:type="dxa"/>
          <w:jc w:val="center"/>
        </w:trPr>
        <w:tc>
          <w:tcPr>
            <w:tcW w:w="99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This course has been approved for transfer under the CAA as a </w:t>
            </w:r>
            <w:proofErr w:type="spellStart"/>
            <w:r w:rsidRPr="001F21E2">
              <w:rPr>
                <w:rFonts w:ascii="Arial" w:eastAsia="Times New Roman" w:hAnsi="Arial" w:cs="Arial"/>
                <w:color w:val="000000"/>
                <w:sz w:val="23"/>
                <w:szCs w:val="23"/>
              </w:rPr>
              <w:t>premajor</w:t>
            </w:r>
            <w:proofErr w:type="spellEnd"/>
            <w:r w:rsidRPr="001F21E2">
              <w:rPr>
                <w:rFonts w:ascii="Arial" w:eastAsia="Times New Roman" w:hAnsi="Arial" w:cs="Arial"/>
                <w:color w:val="000000"/>
                <w:sz w:val="23"/>
                <w:szCs w:val="23"/>
              </w:rPr>
              <w:t xml:space="preserve"> and/or elective course requirement.</w:t>
            </w:r>
            <w:r w:rsidRPr="001F21E2">
              <w:rPr>
                <w:rFonts w:ascii="Arial" w:eastAsia="Times New Roman" w:hAnsi="Arial" w:cs="Arial"/>
                <w:color w:val="000000"/>
                <w:sz w:val="23"/>
                <w:szCs w:val="23"/>
              </w:rPr>
              <w:br/>
              <w:t xml:space="preserve">This course has been approved for transfer under the ICAA as a </w:t>
            </w:r>
            <w:proofErr w:type="spellStart"/>
            <w:r w:rsidRPr="001F21E2">
              <w:rPr>
                <w:rFonts w:ascii="Arial" w:eastAsia="Times New Roman" w:hAnsi="Arial" w:cs="Arial"/>
                <w:color w:val="000000"/>
                <w:sz w:val="23"/>
                <w:szCs w:val="23"/>
              </w:rPr>
              <w:t>premajor</w:t>
            </w:r>
            <w:proofErr w:type="spellEnd"/>
            <w:r w:rsidRPr="001F21E2">
              <w:rPr>
                <w:rFonts w:ascii="Arial" w:eastAsia="Times New Roman" w:hAnsi="Arial" w:cs="Arial"/>
                <w:color w:val="000000"/>
                <w:sz w:val="23"/>
                <w:szCs w:val="23"/>
              </w:rPr>
              <w:t xml:space="preserve"> and/or elective course requirement.</w:t>
            </w:r>
          </w:p>
        </w:tc>
      </w:tr>
      <w:tr w:rsidR="00913D6D" w:rsidRPr="001F21E2" w:rsidTr="00B079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CJC-221</w:t>
            </w:r>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Investigative Principles</w:t>
            </w:r>
          </w:p>
        </w:tc>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CJC-221</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This course introduces the theories and fundamentals of the investigative process. Topics include crime scene/incident processing, information gathering techniques, collection/preservation of evidence, preparation of appropriate reports, court presentations, and other related topics. Upon completion, students should be able to identify, explain, and demonstrate the techniques of the investigative process, report preparation, and courtroom presentation.</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Times New Roman" w:eastAsia="Times New Roman" w:hAnsi="Times New Roman" w:cs="Times New Roman"/>
                <w:sz w:val="24"/>
                <w:szCs w:val="24"/>
              </w:rPr>
            </w:pP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1F21E2" w:rsidTr="00B07904">
        <w:trPr>
          <w:tblCellSpacing w:w="15" w:type="dxa"/>
          <w:jc w:val="center"/>
        </w:trPr>
        <w:tc>
          <w:tcPr>
            <w:tcW w:w="0" w:type="auto"/>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Times New Roman" w:eastAsia="Times New Roman" w:hAnsi="Times New Roman" w:cs="Times New Roman"/>
                <w:sz w:val="24"/>
                <w:szCs w:val="24"/>
              </w:rPr>
            </w:pP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1F21E2" w:rsidTr="00B07904">
        <w:trPr>
          <w:tblCellSpacing w:w="15" w:type="dxa"/>
          <w:jc w:val="center"/>
        </w:trPr>
        <w:tc>
          <w:tcPr>
            <w:tcW w:w="1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913D6D" w:rsidRPr="001F21E2"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87"/>
        <w:gridCol w:w="30"/>
        <w:gridCol w:w="5077"/>
        <w:gridCol w:w="2366"/>
      </w:tblGrid>
      <w:tr w:rsidR="00913D6D" w:rsidRPr="001F21E2" w:rsidTr="00B07904">
        <w:trPr>
          <w:tblCellSpacing w:w="15" w:type="dxa"/>
          <w:jc w:val="center"/>
        </w:trPr>
        <w:tc>
          <w:tcPr>
            <w:tcW w:w="990" w:type="pct"/>
            <w:shd w:val="clear" w:color="auto" w:fill="FFFFFF"/>
            <w:tcMar>
              <w:top w:w="30" w:type="dxa"/>
              <w:left w:w="90" w:type="dxa"/>
              <w:bottom w:w="30" w:type="dxa"/>
              <w:right w:w="90" w:type="dxa"/>
            </w:tcMar>
            <w:hideMark/>
          </w:tcPr>
          <w:p w:rsidR="00913D6D"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p w:rsidR="00913D6D" w:rsidRPr="001F21E2" w:rsidRDefault="00913D6D" w:rsidP="00B07904">
            <w:pPr>
              <w:spacing w:after="0" w:line="240" w:lineRule="auto"/>
              <w:rPr>
                <w:rFonts w:ascii="Arial" w:eastAsia="Times New Roman" w:hAnsi="Arial" w:cs="Arial"/>
                <w:color w:val="000000"/>
                <w:sz w:val="23"/>
                <w:szCs w:val="23"/>
              </w:rPr>
            </w:pPr>
          </w:p>
        </w:tc>
        <w:tc>
          <w:tcPr>
            <w:tcW w:w="3962" w:type="pct"/>
            <w:gridSpan w:val="3"/>
            <w:shd w:val="clear" w:color="auto" w:fill="FFFFFF"/>
            <w:tcMar>
              <w:top w:w="30" w:type="dxa"/>
              <w:left w:w="90" w:type="dxa"/>
              <w:bottom w:w="30" w:type="dxa"/>
              <w:right w:w="90" w:type="dxa"/>
            </w:tcMar>
            <w:hideMark/>
          </w:tcPr>
          <w:p w:rsidR="00913D6D" w:rsidRPr="001F21E2" w:rsidRDefault="00913D6D" w:rsidP="00B07904">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PSY-150</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lastRenderedPageBreak/>
              <w:t xml:space="preserve">State </w:t>
            </w:r>
            <w:proofErr w:type="spellStart"/>
            <w:r w:rsidRPr="00913D6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24"/>
        <w:gridCol w:w="1937"/>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has been approved for transfer under the CAA as a general education course in Social/Behavioral Sciences.</w:t>
            </w:r>
            <w:r w:rsidRPr="00913D6D">
              <w:rPr>
                <w:rFonts w:ascii="Arial" w:eastAsia="Times New Roman" w:hAnsi="Arial" w:cs="Arial"/>
                <w:color w:val="000000"/>
                <w:sz w:val="23"/>
                <w:szCs w:val="23"/>
              </w:rPr>
              <w:br/>
              <w:t>This course has been approved for transfer under the ICAA as a general education course in Social/Behavioral Sciences.</w:t>
            </w:r>
          </w:p>
          <w:p w:rsidR="00913D6D" w:rsidRPr="00913D6D" w:rsidRDefault="00913D6D" w:rsidP="00913D6D">
            <w:pPr>
              <w:spacing w:after="0" w:line="240" w:lineRule="auto"/>
              <w:rPr>
                <w:rFonts w:ascii="Arial" w:eastAsia="Times New Roman" w:hAnsi="Arial" w:cs="Arial"/>
                <w:color w:val="000000"/>
                <w:sz w:val="23"/>
                <w:szCs w:val="23"/>
              </w:rPr>
            </w:pP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CJC-121</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Law Enforcement Operations</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CJC-121</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introduces fundamental law enforcement operations. Topics include the contemporary evolution of law enforcement operations and related issues. Upon completion, students should be able to explain theories, practices, and issues related to law enforcement operations.</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27"/>
        <w:gridCol w:w="3034"/>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This course has been approved for transfer under the CAA as a </w:t>
            </w:r>
            <w:proofErr w:type="spellStart"/>
            <w:r w:rsidRPr="00913D6D">
              <w:rPr>
                <w:rFonts w:ascii="Arial" w:eastAsia="Times New Roman" w:hAnsi="Arial" w:cs="Arial"/>
                <w:color w:val="000000"/>
                <w:sz w:val="23"/>
                <w:szCs w:val="23"/>
              </w:rPr>
              <w:t>premajor</w:t>
            </w:r>
            <w:proofErr w:type="spellEnd"/>
            <w:r w:rsidRPr="00913D6D">
              <w:rPr>
                <w:rFonts w:ascii="Arial" w:eastAsia="Times New Roman" w:hAnsi="Arial" w:cs="Arial"/>
                <w:color w:val="000000"/>
                <w:sz w:val="23"/>
                <w:szCs w:val="23"/>
              </w:rPr>
              <w:t xml:space="preserve"> and/or elective course requirement.</w:t>
            </w:r>
            <w:r w:rsidRPr="00913D6D">
              <w:rPr>
                <w:rFonts w:ascii="Arial" w:eastAsia="Times New Roman" w:hAnsi="Arial" w:cs="Arial"/>
                <w:color w:val="000000"/>
                <w:sz w:val="23"/>
                <w:szCs w:val="23"/>
              </w:rPr>
              <w:br/>
              <w:t xml:space="preserve">This course has been approved for transfer under the ICAA as a </w:t>
            </w:r>
            <w:proofErr w:type="spellStart"/>
            <w:r w:rsidRPr="00913D6D">
              <w:rPr>
                <w:rFonts w:ascii="Arial" w:eastAsia="Times New Roman" w:hAnsi="Arial" w:cs="Arial"/>
                <w:color w:val="000000"/>
                <w:sz w:val="23"/>
                <w:szCs w:val="23"/>
              </w:rPr>
              <w:t>premajor</w:t>
            </w:r>
            <w:proofErr w:type="spellEnd"/>
            <w:r w:rsidRPr="00913D6D">
              <w:rPr>
                <w:rFonts w:ascii="Arial" w:eastAsia="Times New Roman" w:hAnsi="Arial" w:cs="Arial"/>
                <w:color w:val="000000"/>
                <w:sz w:val="23"/>
                <w:szCs w:val="23"/>
              </w:rPr>
              <w:t xml:space="preserve"> and/or elective course requirement.</w:t>
            </w:r>
          </w:p>
          <w:p w:rsidR="00913D6D" w:rsidRPr="00913D6D" w:rsidRDefault="00913D6D" w:rsidP="00913D6D">
            <w:pPr>
              <w:spacing w:after="0" w:line="240" w:lineRule="auto"/>
              <w:rPr>
                <w:rFonts w:ascii="Arial" w:eastAsia="Times New Roman" w:hAnsi="Arial" w:cs="Arial"/>
                <w:color w:val="000000"/>
                <w:sz w:val="23"/>
                <w:szCs w:val="23"/>
              </w:rPr>
            </w:pP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CJC-131</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Criminal Law</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CJC-131</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covers the history/evolution/principles and contemporary applications of criminal law. Topics include sources of substantive law, classification of crimes, parties to crime, elements of crimes, matters of criminal responsibility, and other related topics. Upon completion, students should be able to discuss the sources of law and identify, interpret, and apply the appropriate statutes/elements.</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254"/>
        <w:gridCol w:w="3207"/>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p w:rsidR="00913D6D" w:rsidRPr="00913D6D" w:rsidRDefault="00913D6D" w:rsidP="00913D6D">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CJC-141</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Corrections</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CJC-141</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covers the history, major philosophies, components, and current practices and problems of the field of corrections. Topics include historical evolution, functions of the various components, alternatives to incarceration, treatment programs, inmate control, and other related topics. Upon completion, students should be able to explain the various components, processes, and functions of the correctional system.</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lastRenderedPageBreak/>
              <w:t xml:space="preserve">State </w:t>
            </w:r>
            <w:proofErr w:type="spellStart"/>
            <w:r w:rsidRPr="00913D6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79"/>
        <w:gridCol w:w="2582"/>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This course has been approved for transfer under the CAA as a </w:t>
            </w:r>
            <w:proofErr w:type="spellStart"/>
            <w:r w:rsidRPr="00913D6D">
              <w:rPr>
                <w:rFonts w:ascii="Arial" w:eastAsia="Times New Roman" w:hAnsi="Arial" w:cs="Arial"/>
                <w:color w:val="000000"/>
                <w:sz w:val="23"/>
                <w:szCs w:val="23"/>
              </w:rPr>
              <w:t>premajor</w:t>
            </w:r>
            <w:proofErr w:type="spellEnd"/>
            <w:r w:rsidRPr="00913D6D">
              <w:rPr>
                <w:rFonts w:ascii="Arial" w:eastAsia="Times New Roman" w:hAnsi="Arial" w:cs="Arial"/>
                <w:color w:val="000000"/>
                <w:sz w:val="23"/>
                <w:szCs w:val="23"/>
              </w:rPr>
              <w:t xml:space="preserve"> and/or elective course requirement.</w:t>
            </w:r>
            <w:r w:rsidRPr="00913D6D">
              <w:rPr>
                <w:rFonts w:ascii="Arial" w:eastAsia="Times New Roman" w:hAnsi="Arial" w:cs="Arial"/>
                <w:color w:val="000000"/>
                <w:sz w:val="23"/>
                <w:szCs w:val="23"/>
              </w:rPr>
              <w:br/>
              <w:t xml:space="preserve">This course has been approved for transfer under the ICAA as a </w:t>
            </w:r>
            <w:proofErr w:type="spellStart"/>
            <w:r w:rsidRPr="00913D6D">
              <w:rPr>
                <w:rFonts w:ascii="Arial" w:eastAsia="Times New Roman" w:hAnsi="Arial" w:cs="Arial"/>
                <w:color w:val="000000"/>
                <w:sz w:val="23"/>
                <w:szCs w:val="23"/>
              </w:rPr>
              <w:t>premajor</w:t>
            </w:r>
            <w:proofErr w:type="spellEnd"/>
            <w:r w:rsidRPr="00913D6D">
              <w:rPr>
                <w:rFonts w:ascii="Arial" w:eastAsia="Times New Roman" w:hAnsi="Arial" w:cs="Arial"/>
                <w:color w:val="000000"/>
                <w:sz w:val="23"/>
                <w:szCs w:val="23"/>
              </w:rPr>
              <w:t xml:space="preserve"> and/or elective course requirement.</w:t>
            </w: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CJC-213</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Substance Abuse</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CJC-213</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is a study of substance abuse in our society. Topics include the history and classifications of drug abuse and the social, physical, and psychological impact of drug abuse. Upon completion, students should be able to identify various types of drugs, their effects on human behavior and society, and treatment modalities.</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41"/>
        <w:gridCol w:w="2020"/>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ENG-114</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Prof Research &amp; Reporting</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ENG-114</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the second in a series of two, is designed to teach professional communication skills. Emphasis is placed on research, listening, critical reading and thinking, analysis, interpretation, and design used in oral and written presentations. Upon completion, students should be able to work individually and collaboratively to produce well-designed business and professional written and oral presentations.</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Take ENG-111</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18"/>
        <w:gridCol w:w="3043"/>
      </w:tblGrid>
      <w:tr w:rsidR="00913D6D" w:rsidRPr="00913D6D" w:rsidTr="00913D6D">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has been approved for transfer under the CAA as a general education course in English Composition.</w:t>
            </w:r>
            <w:r w:rsidRPr="00913D6D">
              <w:rPr>
                <w:rFonts w:ascii="Arial" w:eastAsia="Times New Roman" w:hAnsi="Arial" w:cs="Arial"/>
                <w:color w:val="000000"/>
                <w:sz w:val="23"/>
                <w:szCs w:val="23"/>
              </w:rPr>
              <w:br/>
              <w:t>This course has been approved for transfer under the ICAA as a general education course in English Composition.</w:t>
            </w:r>
          </w:p>
        </w:tc>
      </w:tr>
      <w:tr w:rsidR="00913D6D" w:rsidRPr="00913D6D" w:rsidTr="00913D6D">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CJC-112</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Criminology</w:t>
            </w:r>
          </w:p>
        </w:tc>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b/>
                <w:bCs/>
                <w:color w:val="000000"/>
                <w:sz w:val="23"/>
                <w:szCs w:val="23"/>
              </w:rPr>
            </w:pPr>
            <w:r w:rsidRPr="00913D6D">
              <w:rPr>
                <w:rFonts w:ascii="Arial" w:eastAsia="Times New Roman" w:hAnsi="Arial" w:cs="Arial"/>
                <w:b/>
                <w:bCs/>
                <w:color w:val="000000"/>
                <w:sz w:val="23"/>
                <w:szCs w:val="23"/>
              </w:rPr>
              <w:t>CJC-112</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This course introduces deviant behavior as it relates to criminal activity. Topics include theories of crime causation; statistical analysis of criminal behavior; past, present, and future social control initiatives; and other related topics. Upon completion, students should be able to explain and discuss various theories of crime causation and societal response.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13D6D" w:rsidRPr="00913D6D" w:rsidTr="00913D6D">
        <w:trPr>
          <w:tblCellSpacing w:w="15" w:type="dxa"/>
          <w:jc w:val="center"/>
        </w:trPr>
        <w:tc>
          <w:tcPr>
            <w:tcW w:w="0" w:type="auto"/>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Times New Roman" w:eastAsia="Times New Roman" w:hAnsi="Times New Roman" w:cs="Times New Roman"/>
                <w:sz w:val="24"/>
                <w:szCs w:val="24"/>
              </w:rPr>
            </w:pP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913D6D" w:rsidRPr="00913D6D" w:rsidTr="00913D6D">
        <w:trPr>
          <w:tblCellSpacing w:w="15" w:type="dxa"/>
          <w:jc w:val="center"/>
        </w:trPr>
        <w:tc>
          <w:tcPr>
            <w:tcW w:w="1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tc>
      </w:tr>
    </w:tbl>
    <w:p w:rsidR="00913D6D" w:rsidRPr="00913D6D" w:rsidRDefault="00913D6D" w:rsidP="00913D6D">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23"/>
        <w:gridCol w:w="2038"/>
      </w:tblGrid>
      <w:tr w:rsidR="00913D6D" w:rsidRPr="00913D6D" w:rsidTr="000433F6">
        <w:trPr>
          <w:tblCellSpacing w:w="15" w:type="dxa"/>
          <w:jc w:val="center"/>
        </w:trPr>
        <w:tc>
          <w:tcPr>
            <w:tcW w:w="990" w:type="pct"/>
            <w:shd w:val="clear" w:color="auto" w:fill="FFFFFF"/>
            <w:tcMar>
              <w:top w:w="30" w:type="dxa"/>
              <w:left w:w="90" w:type="dxa"/>
              <w:bottom w:w="30" w:type="dxa"/>
              <w:right w:w="90" w:type="dxa"/>
            </w:tcMar>
            <w:hideMark/>
          </w:tcPr>
          <w:p w:rsidR="00913D6D" w:rsidRP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 xml:space="preserve">State </w:t>
            </w:r>
            <w:proofErr w:type="spellStart"/>
            <w:r w:rsidRPr="00913D6D">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913D6D" w:rsidRDefault="00913D6D" w:rsidP="00913D6D">
            <w:pPr>
              <w:spacing w:after="0" w:line="240" w:lineRule="auto"/>
              <w:rPr>
                <w:rFonts w:ascii="Arial" w:eastAsia="Times New Roman" w:hAnsi="Arial" w:cs="Arial"/>
                <w:color w:val="000000"/>
                <w:sz w:val="23"/>
                <w:szCs w:val="23"/>
              </w:rPr>
            </w:pPr>
            <w:r w:rsidRPr="00913D6D">
              <w:rPr>
                <w:rFonts w:ascii="Arial" w:eastAsia="Times New Roman" w:hAnsi="Arial" w:cs="Arial"/>
                <w:color w:val="000000"/>
                <w:sz w:val="23"/>
                <w:szCs w:val="23"/>
              </w:rPr>
              <w:t>None</w:t>
            </w:r>
          </w:p>
          <w:p w:rsidR="000433F6" w:rsidRPr="00913D6D" w:rsidRDefault="000433F6" w:rsidP="00913D6D">
            <w:pPr>
              <w:spacing w:after="0" w:line="240" w:lineRule="auto"/>
              <w:rPr>
                <w:rFonts w:ascii="Arial" w:eastAsia="Times New Roman" w:hAnsi="Arial" w:cs="Arial"/>
                <w:color w:val="000000"/>
                <w:sz w:val="23"/>
                <w:szCs w:val="23"/>
              </w:rPr>
            </w:pPr>
          </w:p>
        </w:tc>
      </w:tr>
      <w:tr w:rsidR="000433F6" w:rsidRPr="000433F6" w:rsidTr="000433F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lastRenderedPageBreak/>
              <w:t>CJC-212</w:t>
            </w:r>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 xml:space="preserve">Ethics &amp; </w:t>
            </w:r>
            <w:proofErr w:type="spellStart"/>
            <w:r w:rsidRPr="000433F6">
              <w:rPr>
                <w:rFonts w:ascii="Arial" w:eastAsia="Times New Roman" w:hAnsi="Arial" w:cs="Arial"/>
                <w:b/>
                <w:bCs/>
                <w:color w:val="000000"/>
                <w:sz w:val="23"/>
                <w:szCs w:val="23"/>
              </w:rPr>
              <w:t>Comm</w:t>
            </w:r>
            <w:proofErr w:type="spellEnd"/>
            <w:r w:rsidRPr="000433F6">
              <w:rPr>
                <w:rFonts w:ascii="Arial" w:eastAsia="Times New Roman" w:hAnsi="Arial" w:cs="Arial"/>
                <w:b/>
                <w:bCs/>
                <w:color w:val="000000"/>
                <w:sz w:val="23"/>
                <w:szCs w:val="23"/>
              </w:rPr>
              <w:t xml:space="preserve"> Relations</w:t>
            </w:r>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CJC-212</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This course covers ethical considerations and accepted standards applicable to criminal justice organizations and professionals. Topics include ethical systems; social change, values, and norms; cultural diversity; citizen involvement in criminal justice issues; and other related topics. Upon completion, students should be able to apply ethical considerations to the decision-making process in identifiable criminal justice situations.</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433F6" w:rsidRPr="000433F6" w:rsidTr="000433F6">
        <w:trPr>
          <w:tblCellSpacing w:w="15" w:type="dxa"/>
          <w:jc w:val="center"/>
        </w:trPr>
        <w:tc>
          <w:tcPr>
            <w:tcW w:w="1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53"/>
        <w:gridCol w:w="2508"/>
      </w:tblGrid>
      <w:tr w:rsidR="000433F6" w:rsidRPr="000433F6" w:rsidTr="000433F6">
        <w:trPr>
          <w:tblCellSpacing w:w="15" w:type="dxa"/>
          <w:jc w:val="center"/>
        </w:trPr>
        <w:tc>
          <w:tcPr>
            <w:tcW w:w="990" w:type="pct"/>
            <w:shd w:val="clear" w:color="auto" w:fill="FFFFFF"/>
            <w:tcMar>
              <w:top w:w="30" w:type="dxa"/>
              <w:left w:w="90" w:type="dxa"/>
              <w:bottom w:w="30" w:type="dxa"/>
              <w:right w:w="90" w:type="dxa"/>
            </w:tcMar>
            <w:hideMark/>
          </w:tcPr>
          <w:p w:rsid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 xml:space="preserve">State </w:t>
            </w:r>
            <w:proofErr w:type="spellStart"/>
            <w:r w:rsidRPr="000433F6">
              <w:rPr>
                <w:rFonts w:ascii="Arial" w:eastAsia="Times New Roman" w:hAnsi="Arial" w:cs="Arial"/>
                <w:color w:val="000000"/>
                <w:sz w:val="23"/>
                <w:szCs w:val="23"/>
              </w:rPr>
              <w:t>Corequisites</w:t>
            </w:r>
            <w:proofErr w:type="spellEnd"/>
          </w:p>
          <w:p w:rsidR="000433F6" w:rsidRPr="000433F6" w:rsidRDefault="000433F6" w:rsidP="000433F6">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r w:rsidR="000433F6" w:rsidRPr="000433F6" w:rsidTr="000433F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CJC-225</w:t>
            </w:r>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Crisis Intervention</w:t>
            </w:r>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CJC-225</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This course introduces critical incident intervention and management techniques as they apply to operational criminal justice practitioners. Emphasis is placed on the victim/offender situation as well as job-related high stress, dangerous, or problem-solving citizen contacts. Upon completion, students should be able to provide insightful analysis of emotional, violent, drug-induced, and other critical and/or stressful incidents that require field analysis and/or resolution.</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433F6" w:rsidRPr="000433F6" w:rsidTr="000433F6">
        <w:trPr>
          <w:tblCellSpacing w:w="15" w:type="dxa"/>
          <w:jc w:val="center"/>
        </w:trPr>
        <w:tc>
          <w:tcPr>
            <w:tcW w:w="1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674"/>
        <w:gridCol w:w="1787"/>
      </w:tblGrid>
      <w:tr w:rsidR="000433F6" w:rsidRPr="000433F6" w:rsidTr="000433F6">
        <w:trPr>
          <w:tblCellSpacing w:w="15" w:type="dxa"/>
          <w:jc w:val="center"/>
        </w:trPr>
        <w:tc>
          <w:tcPr>
            <w:tcW w:w="99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 xml:space="preserve">State </w:t>
            </w:r>
            <w:proofErr w:type="spellStart"/>
            <w:r w:rsidRPr="000433F6">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r w:rsidR="000433F6" w:rsidRPr="000433F6" w:rsidTr="000433F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CJC-241</w:t>
            </w:r>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Community-Based Corrections</w:t>
            </w:r>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b/>
                <w:bCs/>
                <w:color w:val="000000"/>
                <w:sz w:val="23"/>
                <w:szCs w:val="23"/>
              </w:rPr>
            </w:pPr>
            <w:r w:rsidRPr="000433F6">
              <w:rPr>
                <w:rFonts w:ascii="Arial" w:eastAsia="Times New Roman" w:hAnsi="Arial" w:cs="Arial"/>
                <w:b/>
                <w:bCs/>
                <w:color w:val="000000"/>
                <w:sz w:val="23"/>
                <w:szCs w:val="23"/>
              </w:rPr>
              <w:t>CJC-241</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This course covers programs for convicted offenders that are used both as alternatives to incarceration and in post-incarceration situations. Topics include offenders, diversion, house arrest, restitution, community service, probation and parole, including both public and private participation, and other related topics. Upon completion, students should be able to identify/discuss the various programs from the perspective of the criminal justice professional, the offender, and the community.</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433F6" w:rsidRPr="000433F6" w:rsidTr="000433F6">
        <w:trPr>
          <w:tblCellSpacing w:w="15" w:type="dxa"/>
          <w:jc w:val="center"/>
        </w:trPr>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Times New Roman" w:eastAsia="Times New Roman" w:hAnsi="Times New Roman" w:cs="Times New Roman"/>
                <w:sz w:val="24"/>
                <w:szCs w:val="24"/>
              </w:rPr>
            </w:pP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433F6" w:rsidRPr="000433F6" w:rsidTr="000433F6">
        <w:trPr>
          <w:tblCellSpacing w:w="15" w:type="dxa"/>
          <w:jc w:val="center"/>
        </w:trPr>
        <w:tc>
          <w:tcPr>
            <w:tcW w:w="1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bl>
    <w:p w:rsidR="000433F6" w:rsidRPr="000433F6" w:rsidRDefault="000433F6" w:rsidP="000433F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433F6" w:rsidRPr="000433F6" w:rsidTr="000433F6">
        <w:trPr>
          <w:tblCellSpacing w:w="15" w:type="dxa"/>
          <w:jc w:val="center"/>
        </w:trPr>
        <w:tc>
          <w:tcPr>
            <w:tcW w:w="1000" w:type="pct"/>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 xml:space="preserve">State </w:t>
            </w:r>
            <w:proofErr w:type="spellStart"/>
            <w:r w:rsidRPr="000433F6">
              <w:rPr>
                <w:rFonts w:ascii="Arial" w:eastAsia="Times New Roman" w:hAnsi="Arial" w:cs="Arial"/>
                <w:color w:val="000000"/>
                <w:sz w:val="23"/>
                <w:szCs w:val="23"/>
              </w:rPr>
              <w:t>Corequisites</w:t>
            </w:r>
            <w:bookmarkStart w:id="0" w:name="_GoBack"/>
            <w:bookmarkEnd w:id="0"/>
            <w:proofErr w:type="spellEnd"/>
          </w:p>
        </w:tc>
        <w:tc>
          <w:tcPr>
            <w:tcW w:w="0" w:type="auto"/>
            <w:shd w:val="clear" w:color="auto" w:fill="FFFFFF"/>
            <w:tcMar>
              <w:top w:w="30" w:type="dxa"/>
              <w:left w:w="90" w:type="dxa"/>
              <w:bottom w:w="30" w:type="dxa"/>
              <w:right w:w="90" w:type="dxa"/>
            </w:tcMar>
            <w:hideMark/>
          </w:tcPr>
          <w:p w:rsidR="000433F6" w:rsidRPr="000433F6" w:rsidRDefault="000433F6" w:rsidP="000433F6">
            <w:pPr>
              <w:spacing w:after="0" w:line="240" w:lineRule="auto"/>
              <w:rPr>
                <w:rFonts w:ascii="Arial" w:eastAsia="Times New Roman" w:hAnsi="Arial" w:cs="Arial"/>
                <w:color w:val="000000"/>
                <w:sz w:val="23"/>
                <w:szCs w:val="23"/>
              </w:rPr>
            </w:pPr>
            <w:r w:rsidRPr="000433F6">
              <w:rPr>
                <w:rFonts w:ascii="Arial" w:eastAsia="Times New Roman" w:hAnsi="Arial" w:cs="Arial"/>
                <w:color w:val="000000"/>
                <w:sz w:val="23"/>
                <w:szCs w:val="23"/>
              </w:rPr>
              <w:t>None</w:t>
            </w:r>
          </w:p>
        </w:tc>
      </w:tr>
    </w:tbl>
    <w:p w:rsidR="00913D6D" w:rsidRDefault="00913D6D" w:rsidP="00913D6D"/>
    <w:sectPr w:rsidR="00913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6D"/>
    <w:rsid w:val="000433F6"/>
    <w:rsid w:val="003D168C"/>
    <w:rsid w:val="005E531E"/>
    <w:rsid w:val="00913D6D"/>
    <w:rsid w:val="00B9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18CD"/>
  <w15:chartTrackingRefBased/>
  <w15:docId w15:val="{5A364E9F-38B8-41AD-949D-8E298D7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657">
      <w:bodyDiv w:val="1"/>
      <w:marLeft w:val="0"/>
      <w:marRight w:val="0"/>
      <w:marTop w:val="0"/>
      <w:marBottom w:val="0"/>
      <w:divBdr>
        <w:top w:val="none" w:sz="0" w:space="0" w:color="auto"/>
        <w:left w:val="none" w:sz="0" w:space="0" w:color="auto"/>
        <w:bottom w:val="none" w:sz="0" w:space="0" w:color="auto"/>
        <w:right w:val="none" w:sz="0" w:space="0" w:color="auto"/>
      </w:divBdr>
    </w:div>
    <w:div w:id="85855018">
      <w:bodyDiv w:val="1"/>
      <w:marLeft w:val="0"/>
      <w:marRight w:val="0"/>
      <w:marTop w:val="0"/>
      <w:marBottom w:val="0"/>
      <w:divBdr>
        <w:top w:val="none" w:sz="0" w:space="0" w:color="auto"/>
        <w:left w:val="none" w:sz="0" w:space="0" w:color="auto"/>
        <w:bottom w:val="none" w:sz="0" w:space="0" w:color="auto"/>
        <w:right w:val="none" w:sz="0" w:space="0" w:color="auto"/>
      </w:divBdr>
    </w:div>
    <w:div w:id="224341268">
      <w:bodyDiv w:val="1"/>
      <w:marLeft w:val="0"/>
      <w:marRight w:val="0"/>
      <w:marTop w:val="0"/>
      <w:marBottom w:val="0"/>
      <w:divBdr>
        <w:top w:val="none" w:sz="0" w:space="0" w:color="auto"/>
        <w:left w:val="none" w:sz="0" w:space="0" w:color="auto"/>
        <w:bottom w:val="none" w:sz="0" w:space="0" w:color="auto"/>
        <w:right w:val="none" w:sz="0" w:space="0" w:color="auto"/>
      </w:divBdr>
    </w:div>
    <w:div w:id="990719241">
      <w:bodyDiv w:val="1"/>
      <w:marLeft w:val="0"/>
      <w:marRight w:val="0"/>
      <w:marTop w:val="0"/>
      <w:marBottom w:val="0"/>
      <w:divBdr>
        <w:top w:val="none" w:sz="0" w:space="0" w:color="auto"/>
        <w:left w:val="none" w:sz="0" w:space="0" w:color="auto"/>
        <w:bottom w:val="none" w:sz="0" w:space="0" w:color="auto"/>
        <w:right w:val="none" w:sz="0" w:space="0" w:color="auto"/>
      </w:divBdr>
    </w:div>
    <w:div w:id="1159880453">
      <w:bodyDiv w:val="1"/>
      <w:marLeft w:val="0"/>
      <w:marRight w:val="0"/>
      <w:marTop w:val="0"/>
      <w:marBottom w:val="0"/>
      <w:divBdr>
        <w:top w:val="none" w:sz="0" w:space="0" w:color="auto"/>
        <w:left w:val="none" w:sz="0" w:space="0" w:color="auto"/>
        <w:bottom w:val="none" w:sz="0" w:space="0" w:color="auto"/>
        <w:right w:val="none" w:sz="0" w:space="0" w:color="auto"/>
      </w:divBdr>
    </w:div>
    <w:div w:id="1529489129">
      <w:bodyDiv w:val="1"/>
      <w:marLeft w:val="0"/>
      <w:marRight w:val="0"/>
      <w:marTop w:val="0"/>
      <w:marBottom w:val="0"/>
      <w:divBdr>
        <w:top w:val="none" w:sz="0" w:space="0" w:color="auto"/>
        <w:left w:val="none" w:sz="0" w:space="0" w:color="auto"/>
        <w:bottom w:val="none" w:sz="0" w:space="0" w:color="auto"/>
        <w:right w:val="none" w:sz="0" w:space="0" w:color="auto"/>
      </w:divBdr>
    </w:div>
    <w:div w:id="1730767857">
      <w:bodyDiv w:val="1"/>
      <w:marLeft w:val="0"/>
      <w:marRight w:val="0"/>
      <w:marTop w:val="0"/>
      <w:marBottom w:val="0"/>
      <w:divBdr>
        <w:top w:val="none" w:sz="0" w:space="0" w:color="auto"/>
        <w:left w:val="none" w:sz="0" w:space="0" w:color="auto"/>
        <w:bottom w:val="none" w:sz="0" w:space="0" w:color="auto"/>
        <w:right w:val="none" w:sz="0" w:space="0" w:color="auto"/>
      </w:divBdr>
    </w:div>
    <w:div w:id="1996949175">
      <w:bodyDiv w:val="1"/>
      <w:marLeft w:val="0"/>
      <w:marRight w:val="0"/>
      <w:marTop w:val="0"/>
      <w:marBottom w:val="0"/>
      <w:divBdr>
        <w:top w:val="none" w:sz="0" w:space="0" w:color="auto"/>
        <w:left w:val="none" w:sz="0" w:space="0" w:color="auto"/>
        <w:bottom w:val="none" w:sz="0" w:space="0" w:color="auto"/>
        <w:right w:val="none" w:sz="0" w:space="0" w:color="auto"/>
      </w:divBdr>
    </w:div>
    <w:div w:id="2012676996">
      <w:bodyDiv w:val="1"/>
      <w:marLeft w:val="0"/>
      <w:marRight w:val="0"/>
      <w:marTop w:val="0"/>
      <w:marBottom w:val="0"/>
      <w:divBdr>
        <w:top w:val="none" w:sz="0" w:space="0" w:color="auto"/>
        <w:left w:val="none" w:sz="0" w:space="0" w:color="auto"/>
        <w:bottom w:val="none" w:sz="0" w:space="0" w:color="auto"/>
        <w:right w:val="none" w:sz="0" w:space="0" w:color="auto"/>
      </w:divBdr>
    </w:div>
    <w:div w:id="21144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3</cp:revision>
  <dcterms:created xsi:type="dcterms:W3CDTF">2020-05-28T15:56:00Z</dcterms:created>
  <dcterms:modified xsi:type="dcterms:W3CDTF">2020-05-28T15:59:00Z</dcterms:modified>
</cp:coreProperties>
</file>