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sz w:val="36"/>
          <w:szCs w:val="36"/>
        </w:rPr>
      </w:pPr>
      <w:r>
        <w:rPr>
          <w:b w:val="1"/>
          <w:bCs w:val="1"/>
          <w:sz w:val="36"/>
          <w:szCs w:val="36"/>
          <w:rtl w:val="0"/>
          <w:lang w:val="en-US"/>
        </w:rPr>
        <w:t>CRRSAA/HEERF II Higher Education Emergency Relief Fund Student Emergency Financial Aid Grants</w:t>
      </w:r>
    </w:p>
    <w:p>
      <w:pPr>
        <w:pStyle w:val="Body"/>
        <w:spacing w:before="100" w:after="100" w:line="240" w:lineRule="auto"/>
        <w:rPr>
          <w:sz w:val="24"/>
          <w:szCs w:val="24"/>
        </w:rPr>
      </w:pPr>
      <w:r>
        <w:rPr>
          <w:sz w:val="24"/>
          <w:szCs w:val="24"/>
          <w:rtl w:val="0"/>
          <w:lang w:val="en-US"/>
        </w:rPr>
        <w:t>Roanoke-Chowan Community College signed and returned the Certification and Agreement to the US Department of Education offering assurance that the college intends to use no less than 50 percent of the funds received under Section 18004(a)(1) of the CARES Act to provide Emergency Financial Aid Grants to students in summer 2020.</w:t>
      </w:r>
      <w:r>
        <w:rPr>
          <w:sz w:val="24"/>
          <w:szCs w:val="24"/>
          <w:rtl w:val="0"/>
        </w:rPr>
        <w:t xml:space="preserve">  </w:t>
      </w:r>
      <w:r>
        <w:rPr>
          <w:sz w:val="24"/>
          <w:szCs w:val="24"/>
          <w:rtl w:val="0"/>
          <w:lang w:val="en-US"/>
        </w:rPr>
        <w:t>The college received a Coronavirus Response and Relief Supplemental Appropriations Act, 2021 (CRRSAA) Grant Award Notification from the US Department of Education on February 16, 2021 in the amount of $176,741 for Student Emergency Financial Aid Grants and accepted the terms and conditions as outlined.</w:t>
      </w:r>
    </w:p>
    <w:p>
      <w:pPr>
        <w:pStyle w:val="Body"/>
      </w:pPr>
      <w:r>
        <w:rPr>
          <w:b w:val="1"/>
          <w:bCs w:val="1"/>
          <w:sz w:val="36"/>
          <w:szCs w:val="36"/>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